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7999"/>
        <w:gridCol w:w="275"/>
        <w:gridCol w:w="290"/>
      </w:tblGrid>
      <w:tr w:rsidR="00E67132" w:rsidRPr="00E67132" w:rsidTr="00E67132">
        <w:trPr>
          <w:tblCellSpacing w:w="15" w:type="dxa"/>
        </w:trPr>
        <w:tc>
          <w:tcPr>
            <w:tcW w:w="5000" w:type="pct"/>
            <w:vAlign w:val="center"/>
            <w:hideMark/>
          </w:tcPr>
          <w:p w:rsidR="00E67132" w:rsidRPr="00E67132" w:rsidRDefault="00E67132" w:rsidP="00E67132">
            <w:pPr>
              <w:spacing w:after="0" w:line="240" w:lineRule="auto"/>
              <w:jc w:val="center"/>
              <w:rPr>
                <w:rFonts w:ascii="Helvetica" w:eastAsia="Times New Roman" w:hAnsi="Helvetica" w:cs="Helvetica"/>
                <w:b/>
                <w:bCs/>
                <w:color w:val="09547B"/>
                <w:spacing w:val="-5"/>
                <w:sz w:val="23"/>
                <w:szCs w:val="23"/>
                <w:lang w:eastAsia="es-ES"/>
              </w:rPr>
            </w:pPr>
            <w:hyperlink r:id="rId5" w:history="1">
              <w:r w:rsidRPr="00E67132">
                <w:rPr>
                  <w:rFonts w:ascii="Helvetica" w:eastAsia="Times New Roman" w:hAnsi="Helvetica" w:cs="Helvetica"/>
                  <w:b/>
                  <w:bCs/>
                  <w:color w:val="09547B"/>
                  <w:spacing w:val="-5"/>
                  <w:sz w:val="23"/>
                  <w:szCs w:val="23"/>
                  <w:lang w:eastAsia="es-ES"/>
                </w:rPr>
                <w:t xml:space="preserve">Autorizada también la banda de 472-479 kHz </w:t>
              </w:r>
            </w:hyperlink>
          </w:p>
        </w:tc>
        <w:tc>
          <w:tcPr>
            <w:tcW w:w="5000" w:type="pct"/>
            <w:vAlign w:val="center"/>
            <w:hideMark/>
          </w:tcPr>
          <w:p w:rsidR="00E67132" w:rsidRPr="00E67132" w:rsidRDefault="00E67132" w:rsidP="00E67132">
            <w:pPr>
              <w:spacing w:after="0" w:line="240" w:lineRule="auto"/>
              <w:jc w:val="right"/>
              <w:rPr>
                <w:rFonts w:ascii="Arial" w:eastAsia="Times New Roman" w:hAnsi="Arial" w:cs="Arial"/>
                <w:sz w:val="18"/>
                <w:szCs w:val="18"/>
                <w:lang w:eastAsia="es-ES"/>
              </w:rPr>
            </w:pPr>
            <w:r w:rsidRPr="00E67132">
              <w:rPr>
                <w:rFonts w:ascii="Arial" w:eastAsia="Times New Roman" w:hAnsi="Arial" w:cs="Arial"/>
                <w:b/>
                <w:bCs/>
                <w:noProof/>
                <w:color w:val="09547B"/>
                <w:sz w:val="18"/>
                <w:szCs w:val="18"/>
                <w:lang w:eastAsia="es-ES"/>
              </w:rPr>
              <w:drawing>
                <wp:inline distT="0" distB="0" distL="0" distR="0" wp14:anchorId="6739E7CE" wp14:editId="337EA9E5">
                  <wp:extent cx="155575" cy="155575"/>
                  <wp:effectExtent l="0" t="0" r="0" b="0"/>
                  <wp:docPr id="1" name="Imagen 1" descr="Imprimir">
                    <a:hlinkClick xmlns:a="http://schemas.openxmlformats.org/drawingml/2006/main" r:id="rId6"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imir">
                            <a:hlinkClick r:id="rId6" tooltip="&quot;Imprimi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5000" w:type="pct"/>
            <w:vAlign w:val="center"/>
            <w:hideMark/>
          </w:tcPr>
          <w:p w:rsidR="00E67132" w:rsidRPr="00E67132" w:rsidRDefault="00E67132" w:rsidP="00E67132">
            <w:pPr>
              <w:spacing w:after="0" w:line="240" w:lineRule="auto"/>
              <w:jc w:val="right"/>
              <w:rPr>
                <w:rFonts w:ascii="Arial" w:eastAsia="Times New Roman" w:hAnsi="Arial" w:cs="Arial"/>
                <w:sz w:val="18"/>
                <w:szCs w:val="18"/>
                <w:lang w:eastAsia="es-ES"/>
              </w:rPr>
            </w:pPr>
            <w:r w:rsidRPr="00E67132">
              <w:rPr>
                <w:rFonts w:ascii="Arial" w:eastAsia="Times New Roman" w:hAnsi="Arial" w:cs="Arial"/>
                <w:b/>
                <w:bCs/>
                <w:noProof/>
                <w:color w:val="09547B"/>
                <w:sz w:val="18"/>
                <w:szCs w:val="18"/>
                <w:lang w:eastAsia="es-ES"/>
              </w:rPr>
              <w:drawing>
                <wp:inline distT="0" distB="0" distL="0" distR="0" wp14:anchorId="03011DA3" wp14:editId="5CDA96CF">
                  <wp:extent cx="155575" cy="155575"/>
                  <wp:effectExtent l="0" t="0" r="0" b="0"/>
                  <wp:docPr id="2" name="Imagen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bl>
    <w:p w:rsidR="00E67132" w:rsidRPr="00E67132" w:rsidRDefault="00E67132" w:rsidP="00E67132">
      <w:pPr>
        <w:shd w:val="clear" w:color="auto" w:fill="FFFFFF"/>
        <w:spacing w:after="0" w:line="240" w:lineRule="auto"/>
        <w:rPr>
          <w:rFonts w:ascii="Arial" w:eastAsia="Times New Roman" w:hAnsi="Arial" w:cs="Arial"/>
          <w:vanish/>
          <w:sz w:val="18"/>
          <w:szCs w:val="18"/>
          <w:lang w:eastAsia="es-ES"/>
        </w:rPr>
      </w:pPr>
    </w:p>
    <w:tbl>
      <w:tblPr>
        <w:tblW w:w="5000" w:type="pct"/>
        <w:tblCellSpacing w:w="15" w:type="dxa"/>
        <w:tblCellMar>
          <w:left w:w="0" w:type="dxa"/>
          <w:right w:w="0" w:type="dxa"/>
        </w:tblCellMar>
        <w:tblLook w:val="04A0" w:firstRow="1" w:lastRow="0" w:firstColumn="1" w:lastColumn="0" w:noHBand="0" w:noVBand="1"/>
      </w:tblPr>
      <w:tblGrid>
        <w:gridCol w:w="8834"/>
      </w:tblGrid>
      <w:tr w:rsidR="00E67132" w:rsidRPr="00E67132" w:rsidTr="00E67132">
        <w:trPr>
          <w:tblCellSpacing w:w="15" w:type="dxa"/>
        </w:trPr>
        <w:tc>
          <w:tcPr>
            <w:tcW w:w="0" w:type="auto"/>
            <w:tcMar>
              <w:top w:w="0" w:type="dxa"/>
              <w:left w:w="270" w:type="dxa"/>
              <w:bottom w:w="240" w:type="dxa"/>
              <w:right w:w="0" w:type="dxa"/>
            </w:tcMar>
            <w:hideMark/>
          </w:tcPr>
          <w:p w:rsidR="00E67132" w:rsidRPr="00E67132" w:rsidRDefault="00E67132" w:rsidP="00E67132">
            <w:pPr>
              <w:spacing w:after="0" w:line="240" w:lineRule="auto"/>
              <w:jc w:val="center"/>
              <w:rPr>
                <w:rFonts w:ascii="Arial" w:eastAsia="Times New Roman" w:hAnsi="Arial" w:cs="Arial"/>
                <w:color w:val="8A8A8A"/>
                <w:sz w:val="16"/>
                <w:szCs w:val="16"/>
                <w:lang w:eastAsia="es-ES"/>
              </w:rPr>
            </w:pPr>
            <w:r w:rsidRPr="00E67132">
              <w:rPr>
                <w:rFonts w:ascii="Arial" w:eastAsia="Times New Roman" w:hAnsi="Arial" w:cs="Arial"/>
                <w:color w:val="8A8A8A"/>
                <w:sz w:val="16"/>
                <w:szCs w:val="16"/>
                <w:lang w:eastAsia="es-ES"/>
              </w:rPr>
              <w:t xml:space="preserve">Viernes, 10 de Mayo de 2013 14:41 </w:t>
            </w:r>
          </w:p>
        </w:tc>
      </w:tr>
      <w:tr w:rsidR="00E67132" w:rsidRPr="00E67132" w:rsidTr="00E67132">
        <w:trPr>
          <w:tblCellSpacing w:w="15" w:type="dxa"/>
        </w:trPr>
        <w:tc>
          <w:tcPr>
            <w:tcW w:w="0" w:type="auto"/>
            <w:hideMark/>
          </w:tcPr>
          <w:p w:rsidR="00E67132" w:rsidRPr="00E67132" w:rsidRDefault="00E67132" w:rsidP="00E67132">
            <w:pPr>
              <w:spacing w:before="100" w:beforeAutospacing="1" w:after="100" w:afterAutospacing="1" w:line="240" w:lineRule="auto"/>
              <w:jc w:val="center"/>
              <w:rPr>
                <w:rFonts w:ascii="Arial" w:eastAsia="Times New Roman" w:hAnsi="Arial" w:cs="Arial"/>
                <w:sz w:val="18"/>
                <w:szCs w:val="18"/>
                <w:lang w:eastAsia="es-ES"/>
              </w:rPr>
            </w:pPr>
            <w:r w:rsidRPr="00E67132">
              <w:rPr>
                <w:rFonts w:ascii="Arial" w:eastAsia="Times New Roman" w:hAnsi="Arial" w:cs="Arial"/>
                <w:sz w:val="18"/>
                <w:szCs w:val="18"/>
                <w:lang w:eastAsia="es-ES"/>
              </w:rPr>
              <w:t>En la noticia publicada ayer sobre el nuevo Cuadro Nacional de Atribución de Frecuencias (CNAF) hablamos de la noticia más relevante, que es la ampliación de la banda de 1,8 MHz (1810-1830), que podemos utilizar desde hoy, pero el CNAF nos traía otra confirmación de nuestras peticiones, que es la autorización de la banda de 472-479 kHz, en la que podemos salir al aire igualmente a partir de hoy.</w:t>
            </w:r>
          </w:p>
          <w:p w:rsidR="00E67132" w:rsidRPr="00E67132" w:rsidRDefault="00E67132" w:rsidP="00E67132">
            <w:pPr>
              <w:spacing w:before="100" w:beforeAutospacing="1" w:after="100" w:afterAutospacing="1" w:line="240" w:lineRule="auto"/>
              <w:jc w:val="both"/>
              <w:rPr>
                <w:rFonts w:ascii="Arial" w:eastAsia="Times New Roman" w:hAnsi="Arial" w:cs="Arial"/>
                <w:sz w:val="18"/>
                <w:szCs w:val="18"/>
                <w:lang w:eastAsia="es-ES"/>
              </w:rPr>
            </w:pPr>
            <w:r w:rsidRPr="00E67132">
              <w:rPr>
                <w:rFonts w:ascii="Arial" w:eastAsia="Times New Roman" w:hAnsi="Arial" w:cs="Arial"/>
                <w:sz w:val="18"/>
                <w:szCs w:val="18"/>
                <w:lang w:eastAsia="es-ES"/>
              </w:rPr>
              <w:t>El artículo 5.80A del Reglamento de Radiocomunicaciones establece que "la máxima potencia isotrópica radiada equivalente (p.i.r.e.) de las estaciones del servicio de aficionados que utilicen frecuencias de la banda 472-479 kHz no rebasará 1 W". Pero en el mismo artículo, el RR deja la puerta abierta a que las Administraciones aumenten el límite a 5 W, por lo que es de esperar que nuestra Administración lo tenga en consideración en breve, habida cuenta además de que esta fue la potencia autorizada en noviembre 2010 cuando concedió seis autorizaciones temporales</w:t>
            </w:r>
          </w:p>
        </w:tc>
      </w:tr>
    </w:tbl>
    <w:p w:rsidR="001A2583" w:rsidRDefault="001A2583">
      <w:bookmarkStart w:id="0" w:name="_GoBack"/>
      <w:bookmarkEnd w:id="0"/>
    </w:p>
    <w:sectPr w:rsidR="001A2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32"/>
    <w:rsid w:val="001A2583"/>
    <w:rsid w:val="00E671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71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71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85441">
      <w:bodyDiv w:val="1"/>
      <w:marLeft w:val="0"/>
      <w:marRight w:val="0"/>
      <w:marTop w:val="0"/>
      <w:marBottom w:val="0"/>
      <w:divBdr>
        <w:top w:val="none" w:sz="0" w:space="0" w:color="auto"/>
        <w:left w:val="none" w:sz="0" w:space="0" w:color="auto"/>
        <w:bottom w:val="none" w:sz="0" w:space="0" w:color="auto"/>
        <w:right w:val="none" w:sz="0" w:space="0" w:color="auto"/>
      </w:divBdr>
      <w:divsChild>
        <w:div w:id="342709190">
          <w:marLeft w:val="0"/>
          <w:marRight w:val="0"/>
          <w:marTop w:val="0"/>
          <w:marBottom w:val="0"/>
          <w:divBdr>
            <w:top w:val="none" w:sz="0" w:space="0" w:color="auto"/>
            <w:left w:val="none" w:sz="0" w:space="0" w:color="auto"/>
            <w:bottom w:val="none" w:sz="0" w:space="0" w:color="auto"/>
            <w:right w:val="none" w:sz="0" w:space="0" w:color="auto"/>
          </w:divBdr>
          <w:divsChild>
            <w:div w:id="1115103808">
              <w:marLeft w:val="0"/>
              <w:marRight w:val="15"/>
              <w:marTop w:val="0"/>
              <w:marBottom w:val="0"/>
              <w:divBdr>
                <w:top w:val="none" w:sz="0" w:space="0" w:color="auto"/>
                <w:left w:val="none" w:sz="0" w:space="0" w:color="auto"/>
                <w:bottom w:val="none" w:sz="0" w:space="0" w:color="auto"/>
                <w:right w:val="none" w:sz="0" w:space="0" w:color="auto"/>
              </w:divBdr>
              <w:divsChild>
                <w:div w:id="1845779984">
                  <w:marLeft w:val="0"/>
                  <w:marRight w:val="0"/>
                  <w:marTop w:val="0"/>
                  <w:marBottom w:val="0"/>
                  <w:divBdr>
                    <w:top w:val="none" w:sz="0" w:space="0" w:color="auto"/>
                    <w:left w:val="none" w:sz="0" w:space="0" w:color="auto"/>
                    <w:bottom w:val="none" w:sz="0" w:space="0" w:color="auto"/>
                    <w:right w:val="none" w:sz="0" w:space="0" w:color="auto"/>
                  </w:divBdr>
                  <w:divsChild>
                    <w:div w:id="1029768672">
                      <w:marLeft w:val="0"/>
                      <w:marRight w:val="0"/>
                      <w:marTop w:val="0"/>
                      <w:marBottom w:val="0"/>
                      <w:divBdr>
                        <w:top w:val="none" w:sz="0" w:space="0" w:color="auto"/>
                        <w:left w:val="none" w:sz="0" w:space="0" w:color="auto"/>
                        <w:bottom w:val="none" w:sz="0" w:space="0" w:color="auto"/>
                        <w:right w:val="none" w:sz="0" w:space="0" w:color="auto"/>
                      </w:divBdr>
                      <w:divsChild>
                        <w:div w:id="530186298">
                          <w:marLeft w:val="-3135"/>
                          <w:marRight w:val="0"/>
                          <w:marTop w:val="0"/>
                          <w:marBottom w:val="0"/>
                          <w:divBdr>
                            <w:top w:val="none" w:sz="0" w:space="0" w:color="auto"/>
                            <w:left w:val="none" w:sz="0" w:space="0" w:color="auto"/>
                            <w:bottom w:val="none" w:sz="0" w:space="0" w:color="auto"/>
                            <w:right w:val="none" w:sz="0" w:space="0" w:color="auto"/>
                          </w:divBdr>
                          <w:divsChild>
                            <w:div w:id="243691358">
                              <w:marLeft w:val="3135"/>
                              <w:marRight w:val="0"/>
                              <w:marTop w:val="0"/>
                              <w:marBottom w:val="0"/>
                              <w:divBdr>
                                <w:top w:val="none" w:sz="0" w:space="0" w:color="auto"/>
                                <w:left w:val="none" w:sz="0" w:space="0" w:color="auto"/>
                                <w:bottom w:val="none" w:sz="0" w:space="0" w:color="auto"/>
                                <w:right w:val="none" w:sz="0" w:space="0" w:color="auto"/>
                              </w:divBdr>
                              <w:divsChild>
                                <w:div w:id="1792818681">
                                  <w:marLeft w:val="0"/>
                                  <w:marRight w:val="0"/>
                                  <w:marTop w:val="0"/>
                                  <w:marBottom w:val="0"/>
                                  <w:divBdr>
                                    <w:top w:val="none" w:sz="0" w:space="0" w:color="auto"/>
                                    <w:left w:val="none" w:sz="0" w:space="0" w:color="auto"/>
                                    <w:bottom w:val="none" w:sz="0" w:space="0" w:color="auto"/>
                                    <w:right w:val="none" w:sz="0" w:space="0" w:color="auto"/>
                                  </w:divBdr>
                                  <w:divsChild>
                                    <w:div w:id="14503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e.es/component/mailto/?tmpl=component&amp;link=c556a4cba9c31c7b0f52842e3083d7350fc956b3"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re.es/noticias/2167-autorizada-tambien-la-banda-de-472-479-khz.html?tmpl=component&amp;print=1&amp;page=" TargetMode="External"/><Relationship Id="rId11" Type="http://schemas.openxmlformats.org/officeDocument/2006/relationships/theme" Target="theme/theme1.xml"/><Relationship Id="rId5" Type="http://schemas.openxmlformats.org/officeDocument/2006/relationships/hyperlink" Target="http://www.ure.es/noticias/2167-autorizada-tambien-la-banda-de-472-479-khz.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974</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2013-06-08T12:22:00Z</dcterms:created>
  <dcterms:modified xsi:type="dcterms:W3CDTF">2013-06-08T12:22:00Z</dcterms:modified>
</cp:coreProperties>
</file>