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7" w:type="dxa"/>
        <w:tblCellMar>
          <w:top w:w="45" w:type="dxa"/>
          <w:left w:w="45" w:type="dxa"/>
          <w:bottom w:w="45" w:type="dxa"/>
          <w:right w:w="45" w:type="dxa"/>
        </w:tblCellMar>
        <w:tblLook w:val="04A0"/>
      </w:tblPr>
      <w:tblGrid>
        <w:gridCol w:w="4311"/>
        <w:gridCol w:w="4311"/>
      </w:tblGrid>
      <w:tr w:rsidR="00A95E86" w:rsidRPr="00A95E86">
        <w:trPr>
          <w:tblCellSpacing w:w="7" w:type="dxa"/>
          <w:jc w:val="center"/>
        </w:trPr>
        <w:tc>
          <w:tcPr>
            <w:tcW w:w="0" w:type="auto"/>
            <w:gridSpan w:val="2"/>
            <w:vAlign w:val="center"/>
            <w:hideMark/>
          </w:tcPr>
          <w:p w:rsidR="00A95E86" w:rsidRPr="00A95E86" w:rsidRDefault="00A95E86" w:rsidP="00A95E86">
            <w:pPr>
              <w:spacing w:before="100" w:beforeAutospacing="1" w:after="100" w:afterAutospacing="1" w:line="240" w:lineRule="auto"/>
              <w:outlineLvl w:val="0"/>
              <w:rPr>
                <w:rFonts w:ascii="Helvetica" w:eastAsia="Times New Roman" w:hAnsi="Helvetica" w:cs="Helvetica"/>
                <w:b/>
                <w:bCs/>
                <w:color w:val="FF0000"/>
                <w:kern w:val="36"/>
                <w:sz w:val="48"/>
                <w:szCs w:val="48"/>
                <w:lang w:eastAsia="es-ES"/>
              </w:rPr>
            </w:pPr>
            <w:r w:rsidRPr="00A95E86">
              <w:rPr>
                <w:rFonts w:ascii="Helvetica" w:eastAsia="Times New Roman" w:hAnsi="Helvetica" w:cs="Helvetica"/>
                <w:b/>
                <w:bCs/>
                <w:color w:val="FF0000"/>
                <w:kern w:val="36"/>
                <w:sz w:val="48"/>
                <w:szCs w:val="48"/>
                <w:lang w:eastAsia="es-ES"/>
              </w:rPr>
              <w:t>ACOM 1011</w:t>
            </w:r>
          </w:p>
          <w:p w:rsidR="00A95E86" w:rsidRPr="00A95E86" w:rsidRDefault="00A95E86" w:rsidP="00A95E86">
            <w:pPr>
              <w:spacing w:before="100" w:beforeAutospacing="1" w:after="100" w:afterAutospacing="1" w:line="240" w:lineRule="auto"/>
              <w:outlineLvl w:val="2"/>
              <w:rPr>
                <w:rFonts w:ascii="Helvetica" w:eastAsia="Times New Roman" w:hAnsi="Helvetica" w:cs="Helvetica"/>
                <w:b/>
                <w:bCs/>
                <w:sz w:val="27"/>
                <w:szCs w:val="27"/>
                <w:lang w:eastAsia="es-ES"/>
              </w:rPr>
            </w:pPr>
            <w:r w:rsidRPr="00A95E86">
              <w:rPr>
                <w:rFonts w:ascii="Helvetica" w:eastAsia="Times New Roman" w:hAnsi="Helvetica" w:cs="Helvetica"/>
                <w:b/>
                <w:bCs/>
                <w:sz w:val="27"/>
                <w:szCs w:val="27"/>
                <w:lang w:eastAsia="es-ES"/>
              </w:rPr>
              <w:t>Amplificador 700W 160 a 10 metros</w:t>
            </w:r>
          </w:p>
          <w:p w:rsidR="00A95E86" w:rsidRPr="00A95E86" w:rsidRDefault="00A95E86" w:rsidP="00A95E86">
            <w:pPr>
              <w:spacing w:after="240" w:line="240" w:lineRule="auto"/>
              <w:rPr>
                <w:rFonts w:ascii="Helvetica" w:eastAsia="Times New Roman" w:hAnsi="Helvetica" w:cs="Helvetica"/>
                <w:sz w:val="11"/>
                <w:szCs w:val="11"/>
                <w:lang w:eastAsia="es-ES"/>
              </w:rPr>
            </w:pPr>
            <w:r w:rsidRPr="00A95E86">
              <w:rPr>
                <w:rFonts w:ascii="Helvetica" w:eastAsia="Times New Roman" w:hAnsi="Helvetica" w:cs="Helvetica"/>
                <w:b/>
                <w:bCs/>
                <w:color w:val="0000FF"/>
                <w:sz w:val="11"/>
                <w:szCs w:val="11"/>
                <w:lang w:eastAsia="es-ES"/>
              </w:rPr>
              <w:t>NUEVO MODELO</w:t>
            </w:r>
            <w:r w:rsidRPr="00A95E86">
              <w:rPr>
                <w:rFonts w:ascii="Helvetica" w:eastAsia="Times New Roman" w:hAnsi="Helvetica" w:cs="Helvetica"/>
                <w:sz w:val="11"/>
                <w:szCs w:val="11"/>
                <w:lang w:eastAsia="es-ES"/>
              </w:rPr>
              <w:br/>
            </w:r>
          </w:p>
          <w:tbl>
            <w:tblPr>
              <w:tblW w:w="0" w:type="auto"/>
              <w:tblCellSpacing w:w="0" w:type="dxa"/>
              <w:tblCellMar>
                <w:left w:w="0" w:type="dxa"/>
                <w:right w:w="0" w:type="dxa"/>
              </w:tblCellMar>
              <w:tblLook w:val="04A0"/>
            </w:tblPr>
            <w:tblGrid>
              <w:gridCol w:w="8504"/>
            </w:tblGrid>
            <w:tr w:rsidR="00A95E86" w:rsidRPr="00A95E86">
              <w:trPr>
                <w:tblCellSpacing w:w="0" w:type="dxa"/>
              </w:trPr>
              <w:tc>
                <w:tcPr>
                  <w:tcW w:w="0" w:type="auto"/>
                  <w:vAlign w:val="center"/>
                  <w:hideMark/>
                </w:tcPr>
                <w:p w:rsidR="00A95E86" w:rsidRPr="00A95E86" w:rsidRDefault="00A95E86" w:rsidP="00A95E86">
                  <w:pPr>
                    <w:spacing w:after="0" w:line="240" w:lineRule="auto"/>
                    <w:rPr>
                      <w:rFonts w:ascii="Arial" w:eastAsia="Times New Roman" w:hAnsi="Arial" w:cs="Arial"/>
                      <w:color w:val="990000"/>
                      <w:sz w:val="11"/>
                      <w:szCs w:val="11"/>
                      <w:lang w:eastAsia="es-ES"/>
                    </w:rPr>
                  </w:pPr>
                  <w:r w:rsidRPr="00A95E86">
                    <w:rPr>
                      <w:rFonts w:ascii="Arial" w:eastAsia="Times New Roman" w:hAnsi="Arial" w:cs="Arial"/>
                      <w:color w:val="990000"/>
                      <w:sz w:val="11"/>
                      <w:szCs w:val="11"/>
                      <w:lang w:eastAsia="es-ES"/>
                    </w:rPr>
                    <w:t xml:space="preserve">El amplificador lineal de HF ACOM 1011 es un amplificador  de HF para aficionado, entrega una potencia de </w:t>
                  </w:r>
                  <w:r w:rsidRPr="00A95E86">
                    <w:rPr>
                      <w:rFonts w:ascii="Arial" w:eastAsia="Times New Roman" w:hAnsi="Arial" w:cs="Arial"/>
                      <w:b/>
                      <w:bCs/>
                      <w:color w:val="990000"/>
                      <w:sz w:val="11"/>
                      <w:szCs w:val="11"/>
                      <w:lang w:eastAsia="es-ES"/>
                    </w:rPr>
                    <w:t xml:space="preserve">salida real de 700W </w:t>
                  </w:r>
                  <w:r w:rsidRPr="00A95E86">
                    <w:rPr>
                      <w:rFonts w:ascii="Arial" w:eastAsia="Times New Roman" w:hAnsi="Arial" w:cs="Arial"/>
                      <w:color w:val="990000"/>
                      <w:sz w:val="11"/>
                      <w:szCs w:val="11"/>
                      <w:lang w:eastAsia="es-ES"/>
                    </w:rPr>
                    <w:t>(500W en trabajo continuo) en todas las bandas de radioaficionado de 160 a 10 metros (1.8 a 30 Mhz)</w:t>
                  </w:r>
                </w:p>
                <w:p w:rsidR="00A95E86" w:rsidRPr="00A95E86" w:rsidRDefault="00A95E86" w:rsidP="00A95E86">
                  <w:pPr>
                    <w:spacing w:before="100" w:beforeAutospacing="1" w:after="100" w:afterAutospacing="1" w:line="240" w:lineRule="auto"/>
                    <w:rPr>
                      <w:rFonts w:ascii="Helvetica" w:eastAsia="Times New Roman" w:hAnsi="Helvetica" w:cs="Helvetica"/>
                      <w:sz w:val="11"/>
                      <w:szCs w:val="11"/>
                      <w:lang w:eastAsia="es-ES"/>
                    </w:rPr>
                  </w:pPr>
                  <w:r w:rsidRPr="00A95E86">
                    <w:rPr>
                      <w:rFonts w:ascii="Helvetica" w:eastAsia="Times New Roman" w:hAnsi="Helvetica" w:cs="Helvetica"/>
                      <w:sz w:val="11"/>
                      <w:szCs w:val="11"/>
                      <w:lang w:eastAsia="es-ES"/>
                    </w:rPr>
                    <w:br/>
                  </w:r>
                  <w:r w:rsidRPr="00A95E86">
                    <w:rPr>
                      <w:rFonts w:ascii="Helvetica" w:eastAsia="Times New Roman" w:hAnsi="Helvetica" w:cs="Helvetica"/>
                      <w:sz w:val="11"/>
                      <w:szCs w:val="11"/>
                      <w:lang w:eastAsia="es-ES"/>
                    </w:rPr>
                    <w:br/>
                  </w:r>
                  <w:r w:rsidRPr="00A95E86">
                    <w:rPr>
                      <w:rFonts w:ascii="Helvetica" w:eastAsia="Times New Roman" w:hAnsi="Helvetica" w:cs="Helvetica"/>
                      <w:sz w:val="11"/>
                      <w:szCs w:val="11"/>
                      <w:lang w:eastAsia="es-ES"/>
                    </w:rPr>
                    <w:br/>
                    <w:t xml:space="preserve">PRESTACIONES: </w:t>
                  </w:r>
                </w:p>
                <w:p w:rsidR="00A95E86" w:rsidRPr="00A95E86" w:rsidRDefault="00A95E86" w:rsidP="00A95E86">
                  <w:pPr>
                    <w:spacing w:before="100" w:beforeAutospacing="1" w:after="100" w:afterAutospacing="1" w:line="240" w:lineRule="auto"/>
                    <w:rPr>
                      <w:rFonts w:ascii="Helvetica" w:eastAsia="Times New Roman" w:hAnsi="Helvetica" w:cs="Helvetica"/>
                      <w:color w:val="3366FF"/>
                      <w:sz w:val="11"/>
                      <w:szCs w:val="11"/>
                      <w:lang w:eastAsia="es-ES"/>
                    </w:rPr>
                  </w:pPr>
                  <w:r w:rsidRPr="00A95E86">
                    <w:rPr>
                      <w:rFonts w:ascii="Helvetica" w:eastAsia="Times New Roman" w:hAnsi="Helvetica" w:cs="Helvetica"/>
                      <w:b/>
                      <w:bCs/>
                      <w:color w:val="3366FF"/>
                      <w:sz w:val="11"/>
                      <w:szCs w:val="11"/>
                      <w:lang w:eastAsia="es-ES"/>
                    </w:rPr>
                    <w:t xml:space="preserve">Facilidad de uso </w:t>
                  </w:r>
                </w:p>
                <w:p w:rsidR="00A95E86" w:rsidRPr="00A95E86" w:rsidRDefault="00A95E86" w:rsidP="00A95E86">
                  <w:pPr>
                    <w:spacing w:before="100" w:beforeAutospacing="1" w:after="100" w:afterAutospacing="1" w:line="240" w:lineRule="auto"/>
                    <w:rPr>
                      <w:rFonts w:ascii="Helvetica" w:eastAsia="Times New Roman" w:hAnsi="Helvetica" w:cs="Helvetica"/>
                      <w:sz w:val="11"/>
                      <w:szCs w:val="11"/>
                      <w:lang w:eastAsia="es-ES"/>
                    </w:rPr>
                  </w:pPr>
                  <w:r w:rsidRPr="00A95E86">
                    <w:rPr>
                      <w:rFonts w:ascii="Helvetica" w:eastAsia="Times New Roman" w:hAnsi="Helvetica" w:cs="Helvetica"/>
                      <w:sz w:val="11"/>
                      <w:szCs w:val="11"/>
                      <w:lang w:eastAsia="es-ES"/>
                    </w:rPr>
                    <w:t xml:space="preserve">El indicador de </w:t>
                  </w:r>
                  <w:r w:rsidRPr="00A95E86">
                    <w:rPr>
                      <w:rFonts w:ascii="Helvetica" w:eastAsia="Times New Roman" w:hAnsi="Helvetica" w:cs="Helvetica"/>
                      <w:i/>
                      <w:iCs/>
                      <w:sz w:val="11"/>
                      <w:szCs w:val="11"/>
                      <w:lang w:eastAsia="es-ES"/>
                    </w:rPr>
                    <w:t>"The plate-load True Resistance Indicator"</w:t>
                  </w:r>
                  <w:r w:rsidRPr="00A95E86">
                    <w:rPr>
                      <w:rFonts w:ascii="Helvetica" w:eastAsia="Times New Roman" w:hAnsi="Helvetica" w:cs="Helvetica"/>
                      <w:sz w:val="11"/>
                      <w:szCs w:val="11"/>
                      <w:lang w:eastAsia="es-ES"/>
                    </w:rPr>
                    <w:t xml:space="preserve"> (TRI) es una eficaz herramienta que facilita la sintonía lo cual junto al atenuador automático de entrada permite un ajuste eficaz y preciso (5-10 segundos típico).</w:t>
                  </w:r>
                </w:p>
                <w:p w:rsidR="00A95E86" w:rsidRPr="00A95E86" w:rsidRDefault="00A95E86" w:rsidP="00A95E86">
                  <w:pPr>
                    <w:spacing w:before="100" w:beforeAutospacing="1" w:after="100" w:afterAutospacing="1" w:line="240" w:lineRule="auto"/>
                    <w:rPr>
                      <w:rFonts w:ascii="Helvetica" w:eastAsia="Times New Roman" w:hAnsi="Helvetica" w:cs="Helvetica"/>
                      <w:color w:val="3366FF"/>
                      <w:sz w:val="11"/>
                      <w:szCs w:val="11"/>
                      <w:lang w:eastAsia="es-ES"/>
                    </w:rPr>
                  </w:pPr>
                  <w:r w:rsidRPr="00A95E86">
                    <w:rPr>
                      <w:rFonts w:ascii="Helvetica" w:eastAsia="Times New Roman" w:hAnsi="Helvetica" w:cs="Helvetica"/>
                      <w:b/>
                      <w:bCs/>
                      <w:color w:val="3366FF"/>
                      <w:sz w:val="11"/>
                      <w:szCs w:val="11"/>
                      <w:lang w:eastAsia="es-ES"/>
                    </w:rPr>
                    <w:t>No precisa acoplador de antena</w:t>
                  </w:r>
                  <w:r w:rsidRPr="00A95E86">
                    <w:rPr>
                      <w:rFonts w:ascii="Helvetica" w:eastAsia="Times New Roman" w:hAnsi="Helvetica" w:cs="Helvetica"/>
                      <w:color w:val="3366FF"/>
                      <w:sz w:val="11"/>
                      <w:szCs w:val="11"/>
                      <w:lang w:eastAsia="es-ES"/>
                    </w:rPr>
                    <w:t xml:space="preserve"> </w:t>
                  </w:r>
                </w:p>
                <w:p w:rsidR="00A95E86" w:rsidRPr="00A95E86" w:rsidRDefault="00A95E86" w:rsidP="00A95E86">
                  <w:pPr>
                    <w:spacing w:before="100" w:beforeAutospacing="1" w:after="100" w:afterAutospacing="1" w:line="240" w:lineRule="auto"/>
                    <w:rPr>
                      <w:rFonts w:ascii="Helvetica" w:eastAsia="Times New Roman" w:hAnsi="Helvetica" w:cs="Helvetica"/>
                      <w:sz w:val="11"/>
                      <w:szCs w:val="11"/>
                      <w:lang w:eastAsia="es-ES"/>
                    </w:rPr>
                  </w:pPr>
                  <w:r w:rsidRPr="00A95E86">
                    <w:rPr>
                      <w:rFonts w:ascii="Helvetica" w:eastAsia="Times New Roman" w:hAnsi="Helvetica" w:cs="Helvetica"/>
                      <w:sz w:val="11"/>
                      <w:szCs w:val="11"/>
                      <w:lang w:eastAsia="es-ES"/>
                    </w:rPr>
                    <w:t>No se necesita acoplador con valores de ROE de antena hasta 3:1 (o incluso mayor en algunas bandas). El amplificador realiza las funciones de un acoplador de antena, permitiéndole así cargar antenas más rápidamente y utilizarlas en un margen más amplio de frecuencias.</w:t>
                  </w:r>
                </w:p>
                <w:p w:rsidR="00A95E86" w:rsidRPr="00A95E86" w:rsidRDefault="00A95E86" w:rsidP="00A95E86">
                  <w:pPr>
                    <w:spacing w:before="100" w:beforeAutospacing="1" w:after="100" w:afterAutospacing="1" w:line="240" w:lineRule="auto"/>
                    <w:rPr>
                      <w:rFonts w:ascii="Helvetica" w:eastAsia="Times New Roman" w:hAnsi="Helvetica" w:cs="Helvetica"/>
                      <w:color w:val="3366FF"/>
                      <w:sz w:val="11"/>
                      <w:szCs w:val="11"/>
                      <w:lang w:eastAsia="es-ES"/>
                    </w:rPr>
                  </w:pPr>
                  <w:r w:rsidRPr="00A95E86">
                    <w:rPr>
                      <w:rFonts w:ascii="Helvetica" w:eastAsia="Times New Roman" w:hAnsi="Helvetica" w:cs="Helvetica"/>
                      <w:b/>
                      <w:bCs/>
                      <w:color w:val="3366FF"/>
                      <w:sz w:val="11"/>
                      <w:szCs w:val="11"/>
                      <w:lang w:eastAsia="es-ES"/>
                    </w:rPr>
                    <w:t>Protecciones</w:t>
                  </w:r>
                  <w:r w:rsidRPr="00A95E86">
                    <w:rPr>
                      <w:rFonts w:ascii="Helvetica" w:eastAsia="Times New Roman" w:hAnsi="Helvetica" w:cs="Helvetica"/>
                      <w:color w:val="3366FF"/>
                      <w:sz w:val="11"/>
                      <w:szCs w:val="11"/>
                      <w:lang w:eastAsia="es-ES"/>
                    </w:rPr>
                    <w:t xml:space="preserve"> </w:t>
                  </w:r>
                </w:p>
                <w:p w:rsidR="00A95E86" w:rsidRPr="00A95E86" w:rsidRDefault="00A95E86" w:rsidP="00A95E86">
                  <w:pPr>
                    <w:spacing w:before="100" w:beforeAutospacing="1" w:after="100" w:afterAutospacing="1" w:line="240" w:lineRule="auto"/>
                    <w:rPr>
                      <w:rFonts w:ascii="Helvetica" w:eastAsia="Times New Roman" w:hAnsi="Helvetica" w:cs="Helvetica"/>
                      <w:sz w:val="11"/>
                      <w:szCs w:val="11"/>
                      <w:lang w:eastAsia="es-ES"/>
                    </w:rPr>
                  </w:pPr>
                  <w:r w:rsidRPr="00A95E86">
                    <w:rPr>
                      <w:rFonts w:ascii="Helvetica" w:eastAsia="Times New Roman" w:hAnsi="Helvetica" w:cs="Helvetica"/>
                      <w:sz w:val="11"/>
                      <w:szCs w:val="11"/>
                      <w:lang w:eastAsia="es-ES"/>
                    </w:rPr>
                    <w:t xml:space="preserve">Este amplificador es amigable y auto-controlado. Se le ha diseñado para soportar hasta 240 W de potencia reflejada, hasta 100 milisegundos de picos de excitación ("colas" de RF tras soltar la tecla PTT) e incluso errores de sintonía del operador. Es capaz asimismo de operar a más de la mitad de su potencia de diseño con una tensión de red de tan sólo el 75% de su valor nominal. Dado que puede tolerar grandes caídas de tensión (hasta cero durante 10 milisegundos), es particularmente adecuado para operaciones en portable, como "Field Days" o expediciones DX </w:t>
                  </w:r>
                </w:p>
                <w:p w:rsidR="00A95E86" w:rsidRPr="00A95E86" w:rsidRDefault="00A95E86" w:rsidP="00A95E86">
                  <w:pPr>
                    <w:spacing w:before="100" w:beforeAutospacing="1" w:after="100" w:afterAutospacing="1" w:line="240" w:lineRule="auto"/>
                    <w:rPr>
                      <w:rFonts w:ascii="Helvetica" w:eastAsia="Times New Roman" w:hAnsi="Helvetica" w:cs="Helvetica"/>
                      <w:color w:val="3366FF"/>
                      <w:sz w:val="11"/>
                      <w:szCs w:val="11"/>
                      <w:lang w:eastAsia="es-ES"/>
                    </w:rPr>
                  </w:pPr>
                  <w:r w:rsidRPr="00A95E86">
                    <w:rPr>
                      <w:rFonts w:ascii="Helvetica" w:eastAsia="Times New Roman" w:hAnsi="Helvetica" w:cs="Helvetica"/>
                      <w:b/>
                      <w:bCs/>
                      <w:color w:val="3366FF"/>
                      <w:sz w:val="11"/>
                      <w:szCs w:val="11"/>
                      <w:lang w:eastAsia="es-ES"/>
                    </w:rPr>
                    <w:t>Pantalla a barras LED</w:t>
                  </w:r>
                  <w:r w:rsidRPr="00A95E86">
                    <w:rPr>
                      <w:rFonts w:ascii="Helvetica" w:eastAsia="Times New Roman" w:hAnsi="Helvetica" w:cs="Helvetica"/>
                      <w:color w:val="3366FF"/>
                      <w:sz w:val="11"/>
                      <w:szCs w:val="11"/>
                      <w:lang w:eastAsia="es-ES"/>
                    </w:rPr>
                    <w:t xml:space="preserve"> </w:t>
                  </w:r>
                </w:p>
                <w:p w:rsidR="00A95E86" w:rsidRPr="00A95E86" w:rsidRDefault="00A95E86" w:rsidP="00A95E86">
                  <w:pPr>
                    <w:spacing w:before="100" w:beforeAutospacing="1" w:after="100" w:afterAutospacing="1" w:line="240" w:lineRule="auto"/>
                    <w:rPr>
                      <w:rFonts w:ascii="Helvetica" w:eastAsia="Times New Roman" w:hAnsi="Helvetica" w:cs="Helvetica"/>
                      <w:sz w:val="11"/>
                      <w:szCs w:val="11"/>
                      <w:lang w:eastAsia="es-ES"/>
                    </w:rPr>
                  </w:pPr>
                  <w:r w:rsidRPr="00A95E86">
                    <w:rPr>
                      <w:rFonts w:ascii="Helvetica" w:eastAsia="Times New Roman" w:hAnsi="Helvetica" w:cs="Helvetica"/>
                      <w:sz w:val="11"/>
                      <w:szCs w:val="11"/>
                      <w:lang w:eastAsia="es-ES"/>
                    </w:rPr>
                    <w:t>La barra superior muestra siempre la potencia directa de pico, mientras la barra inferior es para la potencia reflejada. Están previstos LED de aviso para condiciones anormales en los parámetros de la rejilla de mando, rejilla pantalla y placa</w:t>
                  </w:r>
                </w:p>
                <w:p w:rsidR="00A95E86" w:rsidRPr="00A95E86" w:rsidRDefault="00A95E86" w:rsidP="00A95E86">
                  <w:pPr>
                    <w:spacing w:before="100" w:beforeAutospacing="1" w:after="100" w:afterAutospacing="1" w:line="240" w:lineRule="auto"/>
                    <w:rPr>
                      <w:rFonts w:ascii="Helvetica" w:eastAsia="Times New Roman" w:hAnsi="Helvetica" w:cs="Helvetica"/>
                      <w:color w:val="3366FF"/>
                      <w:sz w:val="11"/>
                      <w:szCs w:val="11"/>
                      <w:lang w:eastAsia="es-ES"/>
                    </w:rPr>
                  </w:pPr>
                  <w:r w:rsidRPr="00A95E86">
                    <w:rPr>
                      <w:rFonts w:ascii="Helvetica" w:eastAsia="Times New Roman" w:hAnsi="Helvetica" w:cs="Helvetica"/>
                      <w:b/>
                      <w:bCs/>
                      <w:color w:val="3366FF"/>
                      <w:sz w:val="11"/>
                      <w:szCs w:val="11"/>
                      <w:lang w:eastAsia="es-ES"/>
                    </w:rPr>
                    <w:t>Circuito de entrada de banda ancha</w:t>
                  </w:r>
                  <w:r w:rsidRPr="00A95E86">
                    <w:rPr>
                      <w:rFonts w:ascii="Helvetica" w:eastAsia="Times New Roman" w:hAnsi="Helvetica" w:cs="Helvetica"/>
                      <w:color w:val="3366FF"/>
                      <w:sz w:val="11"/>
                      <w:szCs w:val="11"/>
                      <w:lang w:eastAsia="es-ES"/>
                    </w:rPr>
                    <w:t xml:space="preserve"> </w:t>
                  </w:r>
                </w:p>
                <w:p w:rsidR="00A95E86" w:rsidRPr="00A95E86" w:rsidRDefault="00A95E86" w:rsidP="00A95E86">
                  <w:pPr>
                    <w:spacing w:before="100" w:beforeAutospacing="1" w:after="100" w:afterAutospacing="1" w:line="240" w:lineRule="auto"/>
                    <w:rPr>
                      <w:rFonts w:ascii="Helvetica" w:eastAsia="Times New Roman" w:hAnsi="Helvetica" w:cs="Helvetica"/>
                      <w:sz w:val="11"/>
                      <w:szCs w:val="11"/>
                      <w:lang w:eastAsia="es-ES"/>
                    </w:rPr>
                  </w:pPr>
                  <w:r w:rsidRPr="00A95E86">
                    <w:rPr>
                      <w:rFonts w:ascii="Helvetica" w:eastAsia="Times New Roman" w:hAnsi="Helvetica" w:cs="Helvetica"/>
                      <w:sz w:val="11"/>
                      <w:szCs w:val="11"/>
                      <w:lang w:eastAsia="es-ES"/>
                    </w:rPr>
                    <w:t xml:space="preserve">El amplificador presenta una excelente carga al excitador en todo el margen de 1.8 a 30 Mhz </w:t>
                  </w:r>
                </w:p>
                <w:p w:rsidR="00A95E86" w:rsidRPr="00A95E86" w:rsidRDefault="00A95E86" w:rsidP="00A95E86">
                  <w:pPr>
                    <w:spacing w:before="100" w:beforeAutospacing="1" w:after="100" w:afterAutospacing="1" w:line="240" w:lineRule="auto"/>
                    <w:rPr>
                      <w:rFonts w:ascii="Helvetica" w:eastAsia="Times New Roman" w:hAnsi="Helvetica" w:cs="Helvetica"/>
                      <w:color w:val="3366FF"/>
                      <w:sz w:val="11"/>
                      <w:szCs w:val="11"/>
                      <w:lang w:eastAsia="es-ES"/>
                    </w:rPr>
                  </w:pPr>
                  <w:r w:rsidRPr="00A95E86">
                    <w:rPr>
                      <w:rFonts w:ascii="Helvetica" w:eastAsia="Times New Roman" w:hAnsi="Helvetica" w:cs="Helvetica"/>
                      <w:b/>
                      <w:bCs/>
                      <w:color w:val="3366FF"/>
                      <w:sz w:val="11"/>
                      <w:szCs w:val="11"/>
                      <w:lang w:eastAsia="es-ES"/>
                    </w:rPr>
                    <w:t>2  Lamparas 4CX250B</w:t>
                  </w:r>
                  <w:r w:rsidRPr="00A95E86">
                    <w:rPr>
                      <w:rFonts w:ascii="Helvetica" w:eastAsia="Times New Roman" w:hAnsi="Helvetica" w:cs="Helvetica"/>
                      <w:color w:val="3366FF"/>
                      <w:sz w:val="11"/>
                      <w:szCs w:val="11"/>
                      <w:lang w:eastAsia="es-ES"/>
                    </w:rPr>
                    <w:t xml:space="preserve"> </w:t>
                  </w:r>
                </w:p>
                <w:p w:rsidR="00A95E86" w:rsidRPr="00A95E86" w:rsidRDefault="00A95E86" w:rsidP="00A95E86">
                  <w:pPr>
                    <w:spacing w:before="100" w:beforeAutospacing="1" w:after="100" w:afterAutospacing="1" w:line="240" w:lineRule="auto"/>
                    <w:rPr>
                      <w:rFonts w:ascii="Helvetica" w:eastAsia="Times New Roman" w:hAnsi="Helvetica" w:cs="Helvetica"/>
                      <w:sz w:val="11"/>
                      <w:szCs w:val="11"/>
                      <w:lang w:eastAsia="es-ES"/>
                    </w:rPr>
                  </w:pPr>
                  <w:r w:rsidRPr="00A95E86">
                    <w:rPr>
                      <w:rFonts w:ascii="Helvetica" w:eastAsia="Times New Roman" w:hAnsi="Helvetica" w:cs="Helvetica"/>
                      <w:sz w:val="11"/>
                      <w:szCs w:val="11"/>
                      <w:lang w:eastAsia="es-ES"/>
                    </w:rPr>
                    <w:t>Dos tetrodos cerámicos con una disipación total de placa de 500W</w:t>
                  </w:r>
                </w:p>
                <w:p w:rsidR="00A95E86" w:rsidRPr="00A95E86" w:rsidRDefault="00A95E86" w:rsidP="00A95E86">
                  <w:pPr>
                    <w:spacing w:before="100" w:beforeAutospacing="1" w:after="100" w:afterAutospacing="1" w:line="240" w:lineRule="auto"/>
                    <w:rPr>
                      <w:rFonts w:ascii="Helvetica" w:eastAsia="Times New Roman" w:hAnsi="Helvetica" w:cs="Helvetica"/>
                      <w:sz w:val="11"/>
                      <w:szCs w:val="11"/>
                      <w:lang w:eastAsia="es-ES"/>
                    </w:rPr>
                  </w:pPr>
                  <w:r w:rsidRPr="00A95E86">
                    <w:rPr>
                      <w:rFonts w:ascii="Helvetica" w:eastAsia="Times New Roman" w:hAnsi="Helvetica" w:cs="Helvetica"/>
                      <w:b/>
                      <w:bCs/>
                      <w:color w:val="3366FF"/>
                      <w:sz w:val="11"/>
                      <w:szCs w:val="11"/>
                      <w:lang w:eastAsia="es-ES"/>
                    </w:rPr>
                    <w:t xml:space="preserve">Protecciones </w:t>
                  </w:r>
                </w:p>
                <w:p w:rsidR="00A95E86" w:rsidRPr="00A95E86" w:rsidRDefault="00A95E86" w:rsidP="00A95E86">
                  <w:pPr>
                    <w:spacing w:before="100" w:beforeAutospacing="1" w:after="100" w:afterAutospacing="1" w:line="240" w:lineRule="auto"/>
                    <w:rPr>
                      <w:rFonts w:ascii="Helvetica" w:eastAsia="Times New Roman" w:hAnsi="Helvetica" w:cs="Helvetica"/>
                      <w:sz w:val="11"/>
                      <w:szCs w:val="11"/>
                      <w:lang w:eastAsia="es-ES"/>
                    </w:rPr>
                  </w:pPr>
                  <w:r w:rsidRPr="00A95E86">
                    <w:rPr>
                      <w:rFonts w:ascii="Helvetica" w:eastAsia="Times New Roman" w:hAnsi="Helvetica" w:cs="Helvetica"/>
                      <w:sz w:val="11"/>
                      <w:szCs w:val="11"/>
                      <w:lang w:eastAsia="es-ES"/>
                    </w:rPr>
                    <w:t>El equipo monitoriza permanente voltajes y corrientes de placa y reja </w:t>
                  </w:r>
                </w:p>
                <w:p w:rsidR="00A95E86" w:rsidRPr="00A95E86" w:rsidRDefault="00A95E86" w:rsidP="00A95E86">
                  <w:pPr>
                    <w:spacing w:before="100" w:beforeAutospacing="1" w:after="100" w:afterAutospacing="1" w:line="240" w:lineRule="auto"/>
                    <w:rPr>
                      <w:rFonts w:ascii="Helvetica" w:eastAsia="Times New Roman" w:hAnsi="Helvetica" w:cs="Helvetica"/>
                      <w:sz w:val="11"/>
                      <w:szCs w:val="11"/>
                      <w:lang w:eastAsia="es-ES"/>
                    </w:rPr>
                  </w:pPr>
                </w:p>
                <w:p w:rsidR="00A95E86" w:rsidRPr="00A95E86" w:rsidRDefault="00A95E86" w:rsidP="00A95E86">
                  <w:pPr>
                    <w:spacing w:before="100" w:beforeAutospacing="1" w:after="100" w:afterAutospacing="1" w:line="240" w:lineRule="auto"/>
                    <w:outlineLvl w:val="3"/>
                    <w:rPr>
                      <w:rFonts w:ascii="Helvetica" w:eastAsia="Times New Roman" w:hAnsi="Helvetica" w:cs="Helvetica"/>
                      <w:b/>
                      <w:bCs/>
                      <w:sz w:val="24"/>
                      <w:szCs w:val="24"/>
                      <w:lang w:eastAsia="es-ES"/>
                    </w:rPr>
                  </w:pPr>
                  <w:r w:rsidRPr="00A95E86">
                    <w:rPr>
                      <w:rFonts w:ascii="Helvetica" w:eastAsia="Times New Roman" w:hAnsi="Helvetica" w:cs="Helvetica"/>
                      <w:b/>
                      <w:bCs/>
                      <w:sz w:val="24"/>
                      <w:szCs w:val="24"/>
                      <w:lang w:eastAsia="es-ES"/>
                    </w:rPr>
                    <w:t>Información adicional:</w:t>
                  </w:r>
                </w:p>
                <w:p w:rsidR="00A95E86" w:rsidRPr="00A95E86" w:rsidRDefault="00A95E86" w:rsidP="00A95E86">
                  <w:pPr>
                    <w:numPr>
                      <w:ilvl w:val="0"/>
                      <w:numId w:val="1"/>
                    </w:numPr>
                    <w:spacing w:before="100" w:beforeAutospacing="1" w:after="100" w:afterAutospacing="1" w:line="240" w:lineRule="auto"/>
                    <w:rPr>
                      <w:rFonts w:ascii="Helvetica" w:eastAsia="Times New Roman" w:hAnsi="Helvetica" w:cs="Helvetica"/>
                      <w:sz w:val="11"/>
                      <w:szCs w:val="11"/>
                      <w:lang w:eastAsia="es-ES"/>
                    </w:rPr>
                  </w:pPr>
                  <w:r w:rsidRPr="00A95E86">
                    <w:rPr>
                      <w:rFonts w:ascii="Helvetica" w:eastAsia="Times New Roman" w:hAnsi="Helvetica" w:cs="Helvetica"/>
                      <w:sz w:val="11"/>
                      <w:szCs w:val="11"/>
                      <w:lang w:eastAsia="es-ES"/>
                    </w:rPr>
                    <w:t xml:space="preserve">Manual de usuario en ingles: </w:t>
                  </w:r>
                  <w:hyperlink r:id="rId5" w:tgtFrame="_blank" w:history="1">
                    <w:r w:rsidRPr="00A95E86">
                      <w:rPr>
                        <w:rFonts w:ascii="Helvetica" w:eastAsia="Times New Roman" w:hAnsi="Helvetica" w:cs="Helvetica"/>
                        <w:color w:val="993333"/>
                        <w:sz w:val="11"/>
                        <w:u w:val="single"/>
                        <w:lang w:eastAsia="es-ES"/>
                      </w:rPr>
                      <w:t>OPER_MAN A1011.pdf</w:t>
                    </w:r>
                  </w:hyperlink>
                </w:p>
                <w:p w:rsidR="00A95E86" w:rsidRPr="00A95E86" w:rsidRDefault="00A95E86" w:rsidP="00A95E86">
                  <w:pPr>
                    <w:numPr>
                      <w:ilvl w:val="0"/>
                      <w:numId w:val="2"/>
                    </w:numPr>
                    <w:spacing w:before="100" w:beforeAutospacing="1" w:after="100" w:afterAutospacing="1" w:line="240" w:lineRule="auto"/>
                    <w:rPr>
                      <w:rFonts w:ascii="Helvetica" w:eastAsia="Times New Roman" w:hAnsi="Helvetica" w:cs="Helvetica"/>
                      <w:sz w:val="11"/>
                      <w:szCs w:val="11"/>
                      <w:lang w:eastAsia="es-ES"/>
                    </w:rPr>
                  </w:pPr>
                  <w:r w:rsidRPr="00A95E86">
                    <w:rPr>
                      <w:rFonts w:ascii="Helvetica" w:eastAsia="Times New Roman" w:hAnsi="Helvetica" w:cs="Helvetica"/>
                      <w:sz w:val="11"/>
                      <w:szCs w:val="11"/>
                      <w:lang w:eastAsia="es-ES"/>
                    </w:rPr>
                    <w:t xml:space="preserve">Fotografías: </w:t>
                  </w:r>
                  <w:hyperlink r:id="rId6" w:tgtFrame="_blank" w:history="1">
                    <w:r w:rsidRPr="00A95E86">
                      <w:rPr>
                        <w:rFonts w:ascii="Helvetica" w:eastAsia="Times New Roman" w:hAnsi="Helvetica" w:cs="Helvetica"/>
                        <w:color w:val="993333"/>
                        <w:sz w:val="11"/>
                        <w:u w:val="single"/>
                        <w:lang w:eastAsia="es-ES"/>
                      </w:rPr>
                      <w:t>A1011</w:t>
                    </w:r>
                  </w:hyperlink>
                </w:p>
                <w:p w:rsidR="00A95E86" w:rsidRPr="00A95E86" w:rsidRDefault="00A95E86" w:rsidP="00A95E86">
                  <w:pPr>
                    <w:spacing w:before="100" w:beforeAutospacing="1" w:after="100" w:afterAutospacing="1" w:line="240" w:lineRule="auto"/>
                    <w:rPr>
                      <w:rFonts w:ascii="Helvetica" w:eastAsia="Times New Roman" w:hAnsi="Helvetica" w:cs="Helvetica"/>
                      <w:sz w:val="11"/>
                      <w:szCs w:val="11"/>
                      <w:lang w:eastAsia="es-ES"/>
                    </w:rPr>
                  </w:pPr>
                  <w:r>
                    <w:rPr>
                      <w:rFonts w:ascii="Helvetica" w:eastAsia="Times New Roman" w:hAnsi="Helvetica" w:cs="Helvetica"/>
                      <w:noProof/>
                      <w:sz w:val="11"/>
                      <w:szCs w:val="11"/>
                      <w:lang w:eastAsia="es-ES"/>
                    </w:rPr>
                    <w:lastRenderedPageBreak/>
                    <w:drawing>
                      <wp:inline distT="0" distB="0" distL="0" distR="0">
                        <wp:extent cx="5236845" cy="4352290"/>
                        <wp:effectExtent l="19050" t="0" r="1905" b="0"/>
                        <wp:docPr id="1" name="Imagen 1" descr="http://www.astroradio.com/images/acom1011_in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troradio.com/images/acom1011_inside.jpg"/>
                                <pic:cNvPicPr>
                                  <a:picLocks noChangeAspect="1" noChangeArrowheads="1"/>
                                </pic:cNvPicPr>
                              </pic:nvPicPr>
                              <pic:blipFill>
                                <a:blip r:embed="rId7" cstate="print"/>
                                <a:srcRect/>
                                <a:stretch>
                                  <a:fillRect/>
                                </a:stretch>
                              </pic:blipFill>
                              <pic:spPr bwMode="auto">
                                <a:xfrm>
                                  <a:off x="0" y="0"/>
                                  <a:ext cx="5236845" cy="4352290"/>
                                </a:xfrm>
                                <a:prstGeom prst="rect">
                                  <a:avLst/>
                                </a:prstGeom>
                                <a:noFill/>
                                <a:ln w="9525">
                                  <a:noFill/>
                                  <a:miter lim="800000"/>
                                  <a:headEnd/>
                                  <a:tailEnd/>
                                </a:ln>
                              </pic:spPr>
                            </pic:pic>
                          </a:graphicData>
                        </a:graphic>
                      </wp:inline>
                    </w:drawing>
                  </w:r>
                </w:p>
                <w:p w:rsidR="00A95E86" w:rsidRPr="00A95E86" w:rsidRDefault="00A95E86" w:rsidP="00A95E86">
                  <w:pPr>
                    <w:spacing w:before="100" w:beforeAutospacing="1" w:after="100" w:afterAutospacing="1" w:line="240" w:lineRule="auto"/>
                    <w:rPr>
                      <w:rFonts w:ascii="Helvetica" w:eastAsia="Times New Roman" w:hAnsi="Helvetica" w:cs="Helvetica"/>
                      <w:sz w:val="11"/>
                      <w:szCs w:val="11"/>
                      <w:lang w:eastAsia="es-ES"/>
                    </w:rPr>
                  </w:pPr>
                </w:p>
                <w:p w:rsidR="00A95E86" w:rsidRPr="00A95E86" w:rsidRDefault="00A95E86" w:rsidP="00A95E86">
                  <w:pPr>
                    <w:spacing w:before="100" w:beforeAutospacing="1" w:after="100" w:afterAutospacing="1" w:line="240" w:lineRule="auto"/>
                    <w:rPr>
                      <w:rFonts w:ascii="Helvetica" w:eastAsia="Times New Roman" w:hAnsi="Helvetica" w:cs="Helvetica"/>
                      <w:sz w:val="11"/>
                      <w:szCs w:val="11"/>
                      <w:lang w:eastAsia="es-ES"/>
                    </w:rPr>
                  </w:pPr>
                  <w:r>
                    <w:rPr>
                      <w:rFonts w:ascii="Helvetica" w:eastAsia="Times New Roman" w:hAnsi="Helvetica" w:cs="Helvetica"/>
                      <w:noProof/>
                      <w:sz w:val="11"/>
                      <w:szCs w:val="11"/>
                      <w:lang w:eastAsia="es-ES"/>
                    </w:rPr>
                    <w:drawing>
                      <wp:inline distT="0" distB="0" distL="0" distR="0">
                        <wp:extent cx="5236845" cy="2143760"/>
                        <wp:effectExtent l="19050" t="0" r="1905" b="0"/>
                        <wp:docPr id="2" name="Imagen 2" descr="http://www.astroradio.com/images/acom101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troradio.com/images/acom1011_b.jpg"/>
                                <pic:cNvPicPr>
                                  <a:picLocks noChangeAspect="1" noChangeArrowheads="1"/>
                                </pic:cNvPicPr>
                              </pic:nvPicPr>
                              <pic:blipFill>
                                <a:blip r:embed="rId8" cstate="print"/>
                                <a:srcRect/>
                                <a:stretch>
                                  <a:fillRect/>
                                </a:stretch>
                              </pic:blipFill>
                              <pic:spPr bwMode="auto">
                                <a:xfrm>
                                  <a:off x="0" y="0"/>
                                  <a:ext cx="5236845" cy="2143760"/>
                                </a:xfrm>
                                <a:prstGeom prst="rect">
                                  <a:avLst/>
                                </a:prstGeom>
                                <a:noFill/>
                                <a:ln w="9525">
                                  <a:noFill/>
                                  <a:miter lim="800000"/>
                                  <a:headEnd/>
                                  <a:tailEnd/>
                                </a:ln>
                              </pic:spPr>
                            </pic:pic>
                          </a:graphicData>
                        </a:graphic>
                      </wp:inline>
                    </w:drawing>
                  </w:r>
                </w:p>
                <w:p w:rsidR="00A95E86" w:rsidRPr="00A95E86" w:rsidRDefault="00A95E86" w:rsidP="00A95E86">
                  <w:pPr>
                    <w:spacing w:before="100" w:beforeAutospacing="1" w:after="100" w:afterAutospacing="1" w:line="240" w:lineRule="auto"/>
                    <w:outlineLvl w:val="3"/>
                    <w:rPr>
                      <w:rFonts w:ascii="Helvetica" w:eastAsia="Times New Roman" w:hAnsi="Helvetica" w:cs="Helvetica"/>
                      <w:b/>
                      <w:bCs/>
                      <w:sz w:val="24"/>
                      <w:szCs w:val="24"/>
                      <w:lang w:eastAsia="es-ES"/>
                    </w:rPr>
                  </w:pPr>
                  <w:r w:rsidRPr="00A95E86">
                    <w:rPr>
                      <w:rFonts w:ascii="Helvetica" w:eastAsia="Times New Roman" w:hAnsi="Helvetica" w:cs="Helvetica"/>
                      <w:b/>
                      <w:bCs/>
                      <w:sz w:val="24"/>
                      <w:szCs w:val="24"/>
                      <w:lang w:eastAsia="es-ES"/>
                    </w:rPr>
                    <w:t>Características técnicas:</w:t>
                  </w:r>
                </w:p>
                <w:p w:rsidR="00A95E86" w:rsidRPr="00A95E86" w:rsidRDefault="00A95E86" w:rsidP="00A95E86">
                  <w:pPr>
                    <w:spacing w:after="100" w:line="240" w:lineRule="auto"/>
                    <w:rPr>
                      <w:rFonts w:ascii="Helvetica" w:eastAsia="Times New Roman" w:hAnsi="Helvetica" w:cs="Helvetica"/>
                      <w:color w:val="663333"/>
                      <w:sz w:val="11"/>
                      <w:szCs w:val="11"/>
                      <w:lang w:eastAsia="es-ES"/>
                    </w:rPr>
                  </w:pPr>
                  <w:r w:rsidRPr="00A95E86">
                    <w:rPr>
                      <w:rFonts w:ascii="Helvetica" w:eastAsia="Times New Roman" w:hAnsi="Helvetica" w:cs="Helvetica"/>
                      <w:color w:val="663333"/>
                      <w:sz w:val="11"/>
                      <w:szCs w:val="11"/>
                      <w:lang w:eastAsia="es-ES"/>
                    </w:rPr>
                    <w:t xml:space="preserve">a) Cobertura de frecuencia: Todas las bandas de radioaicionado 1,8-29,7 MHz. </w:t>
                  </w:r>
                  <w:r w:rsidRPr="00A95E86">
                    <w:rPr>
                      <w:rFonts w:ascii="Helvetica" w:eastAsia="Times New Roman" w:hAnsi="Helvetica" w:cs="Helvetica"/>
                      <w:color w:val="663333"/>
                      <w:sz w:val="11"/>
                      <w:szCs w:val="11"/>
                      <w:lang w:eastAsia="es-ES"/>
                    </w:rPr>
                    <w:br/>
                    <w:t>b) Potencia de salida: 700 W pep o 500W portadora continua, sin limitación de modo. En modos de portadora continua (RTTY, etc.) en transmisiones superiores a 15 minutos y hasta varias horas, dependiendo de la temperatura ambiente, se debe montar un ventilador exterior.</w:t>
                  </w:r>
                  <w:r w:rsidRPr="00A95E86">
                    <w:rPr>
                      <w:rFonts w:ascii="Helvetica" w:eastAsia="Times New Roman" w:hAnsi="Helvetica" w:cs="Helvetica"/>
                      <w:color w:val="663333"/>
                      <w:sz w:val="11"/>
                      <w:szCs w:val="11"/>
                      <w:lang w:eastAsia="es-ES"/>
                    </w:rPr>
                    <w:br/>
                    <w:t xml:space="preserve">c) Distorsión, intermodulación: Mejor que 35 dB por debajo de la potencia nominal. </w:t>
                  </w:r>
                  <w:r w:rsidRPr="00A95E86">
                    <w:rPr>
                      <w:rFonts w:ascii="Helvetica" w:eastAsia="Times New Roman" w:hAnsi="Helvetica" w:cs="Helvetica"/>
                      <w:color w:val="663333"/>
                      <w:sz w:val="11"/>
                      <w:szCs w:val="11"/>
                      <w:lang w:eastAsia="es-ES"/>
                    </w:rPr>
                    <w:br/>
                    <w:t xml:space="preserve">d) Zumbido y ruido: Mejor que 40 dB por debajo de la potencia nominal. </w:t>
                  </w:r>
                  <w:r w:rsidRPr="00A95E86">
                    <w:rPr>
                      <w:rFonts w:ascii="Helvetica" w:eastAsia="Times New Roman" w:hAnsi="Helvetica" w:cs="Helvetica"/>
                      <w:color w:val="663333"/>
                      <w:sz w:val="11"/>
                      <w:szCs w:val="11"/>
                      <w:lang w:eastAsia="es-ES"/>
                    </w:rPr>
                    <w:br/>
                    <w:t>e) Supresión de armónicos: 1,8 -29,7 MHz: Mejor que 50 dB por debajo de la salida nominal.</w:t>
                  </w:r>
                  <w:r w:rsidRPr="00A95E86">
                    <w:rPr>
                      <w:rFonts w:ascii="Helvetica" w:eastAsia="Times New Roman" w:hAnsi="Helvetica" w:cs="Helvetica"/>
                      <w:color w:val="663333"/>
                      <w:sz w:val="11"/>
                      <w:szCs w:val="11"/>
                      <w:lang w:eastAsia="es-ES"/>
                    </w:rPr>
                    <w:br/>
                    <w:t>f) Impedancias de entrada y salida: - Valor nominal, 50 O, no balanceada, con conectores SO-239 - Circuito de entrada de banda ancha, ROE &lt; 1,3:1 entre 1,8 y 30 MHz. continuos (sin sintonía ni conmutación). - Transferencia de paso (amplificador parado) con ROE &lt; 1,1:1 entre 1,8 y 30 MHz, continuos. - Capacidad de adaptación de impedancia de antena con ROE hasta 3:1 o superior.</w:t>
                  </w:r>
                  <w:r w:rsidRPr="00A95E86">
                    <w:rPr>
                      <w:rFonts w:ascii="Helvetica" w:eastAsia="Times New Roman" w:hAnsi="Helvetica" w:cs="Helvetica"/>
                      <w:color w:val="663333"/>
                      <w:sz w:val="11"/>
                      <w:szCs w:val="11"/>
                      <w:lang w:eastAsia="es-ES"/>
                    </w:rPr>
                    <w:br/>
                    <w:t xml:space="preserve">g) Ganancia de RF típica: 11 dB, con respuesta en frecuencia mejor que 1 dB (50 a 70 W de excitación para salida nominal). </w:t>
                  </w:r>
                  <w:r w:rsidRPr="00A95E86">
                    <w:rPr>
                      <w:rFonts w:ascii="Helvetica" w:eastAsia="Times New Roman" w:hAnsi="Helvetica" w:cs="Helvetica"/>
                      <w:color w:val="663333"/>
                      <w:sz w:val="11"/>
                      <w:szCs w:val="11"/>
                      <w:lang w:eastAsia="es-ES"/>
                    </w:rPr>
                    <w:br/>
                    <w:t>h) Alimentación del primario: 174-246 Vca (tomas para 200, 210, 220, 230 y 240 V) y (100, 110 y 120 Vca bajo demanda). +10% / -15%, 50-60 Hz, monofásica, potencia absorbida máxima 2200 VA con salida nominal.</w:t>
                  </w:r>
                  <w:r w:rsidRPr="00A95E86">
                    <w:rPr>
                      <w:rFonts w:ascii="Helvetica" w:eastAsia="Times New Roman" w:hAnsi="Helvetica" w:cs="Helvetica"/>
                      <w:color w:val="663333"/>
                      <w:sz w:val="11"/>
                      <w:szCs w:val="11"/>
                      <w:lang w:eastAsia="es-ES"/>
                    </w:rPr>
                    <w:br/>
                    <w:t xml:space="preserve">i) Cumple las normativas CE de seguridad y compatibilidad electromagnética, así como las regulaciones FCC. </w:t>
                  </w:r>
                  <w:r w:rsidRPr="00A95E86">
                    <w:rPr>
                      <w:rFonts w:ascii="Helvetica" w:eastAsia="Times New Roman" w:hAnsi="Helvetica" w:cs="Helvetica"/>
                      <w:color w:val="663333"/>
                      <w:sz w:val="11"/>
                      <w:szCs w:val="11"/>
                      <w:lang w:eastAsia="es-ES"/>
                    </w:rPr>
                    <w:br/>
                    <w:t xml:space="preserve">j) Tamaño y peso (operativo): Ancho 407mm, Fondo 315 mm, Alto 169 mm, 18 kg. </w:t>
                  </w:r>
                  <w:r w:rsidRPr="00A95E86">
                    <w:rPr>
                      <w:rFonts w:ascii="Helvetica" w:eastAsia="Times New Roman" w:hAnsi="Helvetica" w:cs="Helvetica"/>
                      <w:color w:val="663333"/>
                      <w:sz w:val="11"/>
                      <w:szCs w:val="11"/>
                      <w:lang w:eastAsia="es-ES"/>
                    </w:rPr>
                    <w:br/>
                    <w:t>k) Condiciones ambientales: - Margen de temperatura: 0...+50 ºC - Humedad: hasta 95%, a 35 ºC - Altitud: hasta 3.000 m snm sin deterioro de la salida.</w:t>
                  </w:r>
                  <w:r w:rsidRPr="00A95E86">
                    <w:rPr>
                      <w:rFonts w:ascii="Helvetica" w:eastAsia="Times New Roman" w:hAnsi="Helvetica" w:cs="Helvetica"/>
                      <w:color w:val="663333"/>
                      <w:sz w:val="11"/>
                      <w:szCs w:val="11"/>
                      <w:lang w:eastAsia="es-ES"/>
                    </w:rPr>
                    <w:br/>
                    <w:t>-</w:t>
                  </w:r>
                  <w:r w:rsidRPr="00A95E86">
                    <w:rPr>
                      <w:rFonts w:ascii="Helvetica" w:eastAsia="Times New Roman" w:hAnsi="Helvetica" w:cs="Helvetica"/>
                      <w:b/>
                      <w:bCs/>
                      <w:color w:val="663333"/>
                      <w:sz w:val="11"/>
                      <w:szCs w:val="11"/>
                      <w:lang w:eastAsia="es-ES"/>
                    </w:rPr>
                    <w:t>Incluye manual</w:t>
                  </w:r>
                  <w:r w:rsidRPr="00A95E86">
                    <w:rPr>
                      <w:rFonts w:ascii="Helvetica" w:eastAsia="Times New Roman" w:hAnsi="Helvetica" w:cs="Helvetica"/>
                      <w:color w:val="663333"/>
                      <w:sz w:val="11"/>
                      <w:szCs w:val="11"/>
                      <w:lang w:eastAsia="es-ES"/>
                    </w:rPr>
                    <w:t xml:space="preserve"> en español.</w:t>
                  </w:r>
                </w:p>
              </w:tc>
            </w:tr>
          </w:tbl>
          <w:p w:rsidR="00A95E86" w:rsidRPr="00A95E86" w:rsidRDefault="00A95E86" w:rsidP="00A95E86">
            <w:pPr>
              <w:spacing w:after="0" w:line="240" w:lineRule="auto"/>
              <w:rPr>
                <w:rFonts w:ascii="Helvetica" w:eastAsia="Times New Roman" w:hAnsi="Helvetica" w:cs="Helvetica"/>
                <w:sz w:val="11"/>
                <w:szCs w:val="11"/>
                <w:lang w:eastAsia="es-ES"/>
              </w:rPr>
            </w:pPr>
            <w:r w:rsidRPr="00A95E86">
              <w:rPr>
                <w:rFonts w:ascii="Helvetica" w:eastAsia="Times New Roman" w:hAnsi="Helvetica" w:cs="Helvetica"/>
                <w:b/>
                <w:bCs/>
                <w:sz w:val="11"/>
                <w:szCs w:val="11"/>
                <w:lang w:eastAsia="es-ES"/>
              </w:rPr>
              <w:lastRenderedPageBreak/>
              <w:t>2 años de garantía</w:t>
            </w:r>
            <w:r w:rsidRPr="00A95E86">
              <w:rPr>
                <w:rFonts w:ascii="Helvetica" w:eastAsia="Times New Roman" w:hAnsi="Helvetica" w:cs="Helvetica"/>
                <w:sz w:val="11"/>
                <w:szCs w:val="11"/>
                <w:lang w:eastAsia="es-ES"/>
              </w:rPr>
              <w:t xml:space="preserve"> </w:t>
            </w:r>
            <w:r w:rsidRPr="00A95E86">
              <w:rPr>
                <w:rFonts w:ascii="Helvetica" w:eastAsia="Times New Roman" w:hAnsi="Helvetica" w:cs="Helvetica"/>
                <w:sz w:val="15"/>
                <w:szCs w:val="15"/>
                <w:lang w:eastAsia="es-ES"/>
              </w:rPr>
              <w:t>(lamparas finales 1 año)</w:t>
            </w:r>
          </w:p>
        </w:tc>
      </w:tr>
      <w:tr w:rsidR="00A95E86" w:rsidRPr="00A95E86">
        <w:trPr>
          <w:tblCellSpacing w:w="7" w:type="dxa"/>
          <w:jc w:val="center"/>
        </w:trPr>
        <w:tc>
          <w:tcPr>
            <w:tcW w:w="0" w:type="auto"/>
            <w:vAlign w:val="center"/>
            <w:hideMark/>
          </w:tcPr>
          <w:p w:rsidR="00A95E86" w:rsidRPr="00A95E86" w:rsidRDefault="00A95E86" w:rsidP="00A95E86">
            <w:pPr>
              <w:spacing w:after="0" w:line="240" w:lineRule="auto"/>
              <w:rPr>
                <w:rFonts w:ascii="Helvetica" w:eastAsia="Times New Roman" w:hAnsi="Helvetica" w:cs="Helvetica"/>
                <w:sz w:val="11"/>
                <w:szCs w:val="11"/>
                <w:lang w:eastAsia="es-ES"/>
              </w:rPr>
            </w:pPr>
          </w:p>
        </w:tc>
        <w:tc>
          <w:tcPr>
            <w:tcW w:w="0" w:type="auto"/>
            <w:vAlign w:val="center"/>
            <w:hideMark/>
          </w:tcPr>
          <w:p w:rsidR="00A95E86" w:rsidRPr="00A95E86" w:rsidRDefault="00A95E86" w:rsidP="00A95E86">
            <w:pPr>
              <w:spacing w:after="0" w:line="240" w:lineRule="auto"/>
              <w:rPr>
                <w:rFonts w:ascii="Times New Roman" w:eastAsia="Times New Roman" w:hAnsi="Times New Roman" w:cs="Times New Roman"/>
                <w:sz w:val="20"/>
                <w:szCs w:val="20"/>
                <w:lang w:eastAsia="es-ES"/>
              </w:rPr>
            </w:pPr>
          </w:p>
        </w:tc>
      </w:tr>
    </w:tbl>
    <w:p w:rsidR="00E328D7" w:rsidRDefault="00E328D7"/>
    <w:sectPr w:rsidR="00E328D7" w:rsidSect="00E328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D3A1D"/>
    <w:multiLevelType w:val="multilevel"/>
    <w:tmpl w:val="64B6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251A47"/>
    <w:multiLevelType w:val="multilevel"/>
    <w:tmpl w:val="9C34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A95E86"/>
    <w:rsid w:val="00A95E86"/>
    <w:rsid w:val="00E328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8D7"/>
  </w:style>
  <w:style w:type="paragraph" w:styleId="Ttulo1">
    <w:name w:val="heading 1"/>
    <w:basedOn w:val="Normal"/>
    <w:link w:val="Ttulo1Car"/>
    <w:uiPriority w:val="9"/>
    <w:qFormat/>
    <w:rsid w:val="00A95E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A95E8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A95E86"/>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5E86"/>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A95E86"/>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A95E86"/>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A95E86"/>
    <w:rPr>
      <w:rFonts w:ascii="Helvetica" w:hAnsi="Helvetica" w:cs="Helvetica" w:hint="default"/>
      <w:b w:val="0"/>
      <w:bCs w:val="0"/>
      <w:color w:val="993333"/>
      <w:u w:val="single"/>
    </w:rPr>
  </w:style>
  <w:style w:type="paragraph" w:styleId="NormalWeb">
    <w:name w:val="Normal (Web)"/>
    <w:basedOn w:val="Normal"/>
    <w:uiPriority w:val="99"/>
    <w:semiHidden/>
    <w:unhideWhenUsed/>
    <w:rsid w:val="00A95E8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95E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E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2028591">
      <w:bodyDiv w:val="1"/>
      <w:marLeft w:val="0"/>
      <w:marRight w:val="0"/>
      <w:marTop w:val="0"/>
      <w:marBottom w:val="0"/>
      <w:divBdr>
        <w:top w:val="none" w:sz="0" w:space="0" w:color="auto"/>
        <w:left w:val="none" w:sz="0" w:space="0" w:color="auto"/>
        <w:bottom w:val="none" w:sz="0" w:space="0" w:color="auto"/>
        <w:right w:val="none" w:sz="0" w:space="0" w:color="auto"/>
      </w:divBdr>
      <w:divsChild>
        <w:div w:id="1241796431">
          <w:marLeft w:val="0"/>
          <w:marRight w:val="0"/>
          <w:marTop w:val="0"/>
          <w:marBottom w:val="0"/>
          <w:divBdr>
            <w:top w:val="none" w:sz="0" w:space="0" w:color="auto"/>
            <w:left w:val="none" w:sz="0" w:space="0" w:color="auto"/>
            <w:bottom w:val="none" w:sz="0" w:space="0" w:color="auto"/>
            <w:right w:val="none" w:sz="0" w:space="0" w:color="auto"/>
          </w:divBdr>
        </w:div>
        <w:div w:id="77610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om-bg.com/amplifiers1011.html" TargetMode="External"/><Relationship Id="rId5" Type="http://schemas.openxmlformats.org/officeDocument/2006/relationships/hyperlink" Target="http://www.acom-bg.com/oper_man_eng_a101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3366</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2013-11-18T06:41:00Z</dcterms:created>
  <dcterms:modified xsi:type="dcterms:W3CDTF">2013-11-18T06:42:00Z</dcterms:modified>
</cp:coreProperties>
</file>