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263" w:rsidRPr="00402263" w:rsidRDefault="00402263" w:rsidP="00402263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Tanto los </w:t>
      </w:r>
      <w:r w:rsidRPr="00402263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Walky-talkies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como los canales PMR nacen de la necesidad de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comunicaciones profesionales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y de ocio de forma sencilla sin entorpecer las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bandas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radioaficionado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o las de otros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servicios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profesionales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Por esta razón la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potencia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de transmisión de los walkies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pmr  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es de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500 mw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y se emite en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FM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estrecha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(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NFM)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>.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La separación de canales es de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12.5 khz.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 El transmisor debe de contar con desplazamientos de </w:t>
      </w:r>
      <w:r w:rsidRPr="00402263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6.25 khz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br/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br/>
        <w:t xml:space="preserve">Las frecuencias de los canales PMR se muestran en la siguiente tabla: </w:t>
      </w:r>
      <w:r w:rsidRPr="00402263">
        <w:rPr>
          <w:rFonts w:ascii="Arial" w:eastAsia="Times New Roman" w:hAnsi="Arial" w:cs="Arial"/>
          <w:sz w:val="20"/>
          <w:szCs w:val="20"/>
          <w:lang w:eastAsia="es-ES"/>
        </w:rPr>
        <w:br/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6"/>
        <w:gridCol w:w="4579"/>
      </w:tblGrid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Canales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Frecuencias</w:t>
            </w:r>
          </w:p>
        </w:tc>
      </w:tr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446.006.25</w:t>
            </w:r>
          </w:p>
        </w:tc>
      </w:tr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446.018.75</w:t>
            </w:r>
          </w:p>
        </w:tc>
      </w:tr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446.031.25</w:t>
            </w:r>
          </w:p>
        </w:tc>
      </w:tr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446.043.75</w:t>
            </w:r>
          </w:p>
        </w:tc>
      </w:tr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446.056.25</w:t>
            </w:r>
          </w:p>
        </w:tc>
      </w:tr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446.068.75</w:t>
            </w:r>
          </w:p>
        </w:tc>
      </w:tr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446.081.25</w:t>
            </w:r>
          </w:p>
        </w:tc>
      </w:tr>
      <w:tr w:rsidR="00402263" w:rsidRPr="00402263" w:rsidTr="00402263">
        <w:trPr>
          <w:trHeight w:val="259"/>
          <w:tblCellSpacing w:w="0" w:type="dxa"/>
          <w:jc w:val="center"/>
        </w:trPr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2263" w:rsidRPr="00402263" w:rsidRDefault="00402263" w:rsidP="004022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02263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446.093.75</w:t>
            </w:r>
          </w:p>
        </w:tc>
      </w:tr>
    </w:tbl>
    <w:p w:rsidR="00301CD3" w:rsidRDefault="00301CD3"/>
    <w:sectPr w:rsidR="00301CD3" w:rsidSect="00301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02263"/>
    <w:rsid w:val="00301CD3"/>
    <w:rsid w:val="0040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C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732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2" w:color="CCCCCC"/>
                            <w:bottom w:val="single" w:sz="2" w:space="0" w:color="CCCCCC"/>
                            <w:right w:val="single" w:sz="6" w:space="12" w:color="CCCCCC"/>
                          </w:divBdr>
                          <w:divsChild>
                            <w:div w:id="127999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1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0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8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7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2013-12-05T20:25:00Z</dcterms:created>
  <dcterms:modified xsi:type="dcterms:W3CDTF">2013-12-05T20:26:00Z</dcterms:modified>
</cp:coreProperties>
</file>