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34" w:rsidRPr="00FB0634" w:rsidRDefault="00FB0634" w:rsidP="00FB063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FB0634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es-ES"/>
        </w:rPr>
        <w:t>Radios Tácticos y para Entidades del Estado</w:t>
      </w:r>
      <w:r w:rsidRPr="00FB0634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 xml:space="preserve">El radio HF es todavía el medio preferido a usar para redes de comunicaciones de respaldo en aplicaciones militares, emergencias nacionales, y mitigación de desastres naturales. </w:t>
      </w:r>
      <w:proofErr w:type="spellStart"/>
      <w:r w:rsidRPr="00FB063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Morcom</w:t>
      </w:r>
      <w:proofErr w:type="spellEnd"/>
      <w:r w:rsidRPr="00FB063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puede suministrar sistemas base HF-SSB completes desde 100W hasta 5,000W. Si </w:t>
      </w:r>
      <w:proofErr w:type="gramStart"/>
      <w:r w:rsidRPr="00FB063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sus</w:t>
      </w:r>
      <w:proofErr w:type="gramEnd"/>
      <w:r w:rsidRPr="00FB063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necesidad es por transceptores del tipo táctico, ofrecemos un rango completo de modelos dependiendo en las especificaciones que necesiten. Normalmente, un transceptor HF-SSB para uso táctico cumple con las especificaciones siguientes: </w:t>
      </w:r>
      <w:r w:rsidRPr="00FB0634"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drawing>
          <wp:inline distT="0" distB="0" distL="0" distR="0" wp14:anchorId="4B6032FA" wp14:editId="449088BF">
            <wp:extent cx="2855595" cy="2087880"/>
            <wp:effectExtent l="0" t="0" r="1905" b="7620"/>
            <wp:docPr id="1" name="Imagen 1" descr="Military Communic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litary Communicati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0634" w:rsidRPr="00FB0634" w:rsidRDefault="00FB0634" w:rsidP="00FB06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345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FB063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1.6-30 MHz</w:t>
      </w:r>
    </w:p>
    <w:p w:rsidR="00FB0634" w:rsidRPr="00FB0634" w:rsidRDefault="00FB0634" w:rsidP="00FB06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345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FB063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100 Canales de Memoria Programables</w:t>
      </w:r>
    </w:p>
    <w:p w:rsidR="00FB0634" w:rsidRPr="00FB0634" w:rsidRDefault="00FB0634" w:rsidP="00FB06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345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FB063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Compacto, sumergible </w:t>
      </w:r>
    </w:p>
    <w:p w:rsidR="00FB0634" w:rsidRPr="00FB0634" w:rsidRDefault="00FB0634" w:rsidP="00FB06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345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FB063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Configuraciones </w:t>
      </w:r>
      <w:proofErr w:type="spellStart"/>
      <w:r w:rsidRPr="00FB063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Manpack</w:t>
      </w:r>
      <w:proofErr w:type="spellEnd"/>
      <w:r w:rsidRPr="00FB063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/Móvil/Base</w:t>
      </w:r>
    </w:p>
    <w:p w:rsidR="00FB0634" w:rsidRPr="00FB0634" w:rsidRDefault="00FB0634" w:rsidP="00FB06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345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FB063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20/100/400/1000 watt </w:t>
      </w:r>
    </w:p>
    <w:p w:rsidR="00FB0634" w:rsidRPr="00FB0634" w:rsidRDefault="00FB0634" w:rsidP="00FB06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345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FB063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Sintonizador automático interno de antena</w:t>
      </w:r>
    </w:p>
    <w:p w:rsidR="00FB0634" w:rsidRPr="00FB0634" w:rsidRDefault="00FB0634" w:rsidP="00FB06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345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FB063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Posibilidad completa B.I.T.E.</w:t>
      </w:r>
    </w:p>
    <w:p w:rsidR="00FB0634" w:rsidRPr="00FB0634" w:rsidRDefault="00FB0634" w:rsidP="00FB06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345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FB063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FED-STD-1045 ALE interna</w:t>
      </w:r>
    </w:p>
    <w:p w:rsidR="001A2583" w:rsidRDefault="001A2583"/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7403A"/>
    <w:multiLevelType w:val="multilevel"/>
    <w:tmpl w:val="4BAE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34"/>
    <w:rsid w:val="001A2583"/>
    <w:rsid w:val="00FB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4123">
              <w:marLeft w:val="2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653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2013-06-13T14:04:00Z</dcterms:created>
  <dcterms:modified xsi:type="dcterms:W3CDTF">2013-06-13T14:04:00Z</dcterms:modified>
</cp:coreProperties>
</file>