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45" w:type="dxa"/>
          <w:left w:w="45" w:type="dxa"/>
          <w:bottom w:w="45" w:type="dxa"/>
          <w:right w:w="45" w:type="dxa"/>
        </w:tblCellMar>
        <w:tblLook w:val="04A0"/>
      </w:tblPr>
      <w:tblGrid>
        <w:gridCol w:w="8594"/>
      </w:tblGrid>
      <w:tr w:rsidR="00A73518" w:rsidRPr="00A73518">
        <w:trPr>
          <w:tblCellSpacing w:w="0" w:type="dxa"/>
          <w:jc w:val="center"/>
        </w:trPr>
        <w:tc>
          <w:tcPr>
            <w:tcW w:w="0" w:type="auto"/>
            <w:hideMark/>
          </w:tcPr>
          <w:p w:rsidR="00A73518" w:rsidRPr="00A73518" w:rsidRDefault="00A73518" w:rsidP="00A73518">
            <w:pPr>
              <w:pBdr>
                <w:top w:val="single" w:sz="8" w:space="0" w:color="FFCC33"/>
                <w:left w:val="single" w:sz="8" w:space="1" w:color="FFCC33"/>
                <w:bottom w:val="single" w:sz="8" w:space="0" w:color="FFCC33"/>
                <w:right w:val="single" w:sz="8" w:space="1" w:color="FFCC33"/>
              </w:pBdr>
              <w:spacing w:before="100" w:beforeAutospacing="1" w:after="100" w:afterAutospacing="1" w:line="240" w:lineRule="auto"/>
              <w:jc w:val="center"/>
              <w:rPr>
                <w:rFonts w:ascii="Helvetica" w:eastAsia="Times New Roman" w:hAnsi="Helvetica" w:cs="Helvetica"/>
                <w:b/>
                <w:bCs/>
                <w:sz w:val="8"/>
                <w:szCs w:val="8"/>
                <w:lang w:eastAsia="es-ES"/>
              </w:rPr>
            </w:pPr>
            <w:r w:rsidRPr="00A73518">
              <w:rPr>
                <w:rFonts w:ascii="Helvetica" w:eastAsia="Times New Roman" w:hAnsi="Helvetica" w:cs="Helvetica"/>
                <w:b/>
                <w:bCs/>
                <w:sz w:val="8"/>
                <w:szCs w:val="8"/>
                <w:lang w:eastAsia="es-ES"/>
              </w:rPr>
              <w:t>Solo España península</w:t>
            </w:r>
          </w:p>
        </w:tc>
      </w:tr>
      <w:tr w:rsidR="00A73518" w:rsidRPr="00A73518">
        <w:trPr>
          <w:tblCellSpacing w:w="0" w:type="dxa"/>
          <w:jc w:val="center"/>
        </w:trPr>
        <w:tc>
          <w:tcPr>
            <w:tcW w:w="0" w:type="auto"/>
            <w:vAlign w:val="center"/>
            <w:hideMark/>
          </w:tcPr>
          <w:tbl>
            <w:tblPr>
              <w:tblW w:w="5000" w:type="pct"/>
              <w:jc w:val="center"/>
              <w:tblCellSpacing w:w="7" w:type="dxa"/>
              <w:tblCellMar>
                <w:top w:w="45" w:type="dxa"/>
                <w:left w:w="45" w:type="dxa"/>
                <w:bottom w:w="45" w:type="dxa"/>
                <w:right w:w="45" w:type="dxa"/>
              </w:tblCellMar>
              <w:tblLook w:val="04A0"/>
            </w:tblPr>
            <w:tblGrid>
              <w:gridCol w:w="8504"/>
            </w:tblGrid>
            <w:tr w:rsidR="00A73518" w:rsidRPr="00A73518">
              <w:trPr>
                <w:tblCellSpacing w:w="7" w:type="dxa"/>
                <w:jc w:val="center"/>
              </w:trPr>
              <w:tc>
                <w:tcPr>
                  <w:tcW w:w="0" w:type="auto"/>
                  <w:vAlign w:val="center"/>
                  <w:hideMark/>
                </w:tcPr>
                <w:p w:rsidR="00A73518" w:rsidRPr="00A73518" w:rsidRDefault="00A73518" w:rsidP="00A73518">
                  <w:pPr>
                    <w:spacing w:after="0" w:line="240" w:lineRule="auto"/>
                    <w:rPr>
                      <w:rFonts w:ascii="Helvetica" w:eastAsia="Times New Roman" w:hAnsi="Helvetica" w:cs="Helvetica"/>
                      <w:sz w:val="11"/>
                      <w:szCs w:val="11"/>
                      <w:lang w:eastAsia="es-ES"/>
                    </w:rPr>
                  </w:pPr>
                  <w:r w:rsidRPr="00A73518">
                    <w:rPr>
                      <w:rFonts w:ascii="Helvetica" w:eastAsia="Times New Roman" w:hAnsi="Helvetica" w:cs="Helvetica"/>
                      <w:b/>
                      <w:bCs/>
                      <w:sz w:val="11"/>
                      <w:szCs w:val="11"/>
                      <w:lang w:eastAsia="es-ES"/>
                    </w:rPr>
                    <w:t>El Alpha 8410 es el resultado de la dedicación durante 40 años a la construcción de los mejores amplificadores lineales del mundo.</w:t>
                  </w:r>
                  <w:r w:rsidRPr="00A73518">
                    <w:rPr>
                      <w:rFonts w:ascii="Helvetica" w:eastAsia="Times New Roman" w:hAnsi="Helvetica" w:cs="Helvetica"/>
                      <w:b/>
                      <w:bCs/>
                      <w:sz w:val="11"/>
                      <w:szCs w:val="11"/>
                      <w:lang w:eastAsia="es-ES"/>
                    </w:rPr>
                    <w:br/>
                  </w:r>
                  <w:r w:rsidRPr="00A73518">
                    <w:rPr>
                      <w:rFonts w:ascii="Helvetica" w:eastAsia="Times New Roman" w:hAnsi="Helvetica" w:cs="Helvetica"/>
                      <w:b/>
                      <w:bCs/>
                      <w:sz w:val="11"/>
                      <w:szCs w:val="11"/>
                      <w:lang w:eastAsia="es-ES"/>
                    </w:rPr>
                    <w:br/>
                    <w:t>Prestaciones clave:</w:t>
                  </w:r>
                </w:p>
                <w:p w:rsidR="00A73518" w:rsidRPr="00A73518" w:rsidRDefault="00A73518" w:rsidP="00A73518">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A73518">
                    <w:rPr>
                      <w:rFonts w:ascii="Helvetica" w:eastAsia="Times New Roman" w:hAnsi="Helvetica" w:cs="Helvetica"/>
                      <w:sz w:val="11"/>
                      <w:szCs w:val="11"/>
                      <w:lang w:eastAsia="es-ES"/>
                    </w:rPr>
                    <w:t>Tetrodos gemelos 4CX1000A en paralelo con una gran disipación en placas de 2 kW.</w:t>
                  </w:r>
                </w:p>
                <w:p w:rsidR="00A73518" w:rsidRPr="00A73518" w:rsidRDefault="00A73518" w:rsidP="00A73518">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A73518">
                    <w:rPr>
                      <w:rFonts w:ascii="Helvetica" w:eastAsia="Times New Roman" w:hAnsi="Helvetica" w:cs="Helvetica"/>
                      <w:sz w:val="11"/>
                      <w:szCs w:val="11"/>
                      <w:lang w:eastAsia="es-ES"/>
                    </w:rPr>
                    <w:t>Opera en todas las bandas de radioaficionado desde 160 a 10 m.</w:t>
                  </w:r>
                </w:p>
                <w:p w:rsidR="00A73518" w:rsidRPr="00A73518" w:rsidRDefault="00A73518" w:rsidP="00A73518">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A73518">
                    <w:rPr>
                      <w:rFonts w:ascii="Helvetica" w:eastAsia="Times New Roman" w:hAnsi="Helvetica" w:cs="Helvetica"/>
                      <w:sz w:val="11"/>
                      <w:szCs w:val="11"/>
                      <w:lang w:eastAsia="es-ES"/>
                    </w:rPr>
                    <w:t xml:space="preserve">Proporciona la máxima potencia legal en todas las bandas y en todos las modalidades. </w:t>
                  </w:r>
                </w:p>
                <w:p w:rsidR="00A73518" w:rsidRPr="00A73518" w:rsidRDefault="00A73518" w:rsidP="00A73518">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A73518">
                    <w:rPr>
                      <w:rFonts w:ascii="Helvetica" w:eastAsia="Times New Roman" w:hAnsi="Helvetica" w:cs="Helvetica"/>
                      <w:sz w:val="11"/>
                      <w:szCs w:val="11"/>
                      <w:lang w:eastAsia="es-ES"/>
                    </w:rPr>
                    <w:t>Utiliza nuestro superfiable transformador Hypersil de 3,5 kVA .</w:t>
                  </w:r>
                </w:p>
                <w:p w:rsidR="00A73518" w:rsidRPr="00A73518" w:rsidRDefault="00A73518" w:rsidP="00A73518">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A73518">
                    <w:rPr>
                      <w:rFonts w:ascii="Helvetica" w:eastAsia="Times New Roman" w:hAnsi="Helvetica" w:cs="Helvetica"/>
                      <w:sz w:val="11"/>
                      <w:szCs w:val="11"/>
                      <w:lang w:eastAsia="es-ES"/>
                    </w:rPr>
                    <w:t>Sin limitación alguna en cuanto al ciclo de trabajo: 100% y manipulador presionado.</w:t>
                  </w:r>
                </w:p>
                <w:p w:rsidR="00A73518" w:rsidRPr="00A73518" w:rsidRDefault="00A73518" w:rsidP="00A73518">
                  <w:pPr>
                    <w:numPr>
                      <w:ilvl w:val="0"/>
                      <w:numId w:val="1"/>
                    </w:numPr>
                    <w:spacing w:before="100" w:beforeAutospacing="1" w:after="100" w:afterAutospacing="1" w:line="240" w:lineRule="auto"/>
                    <w:rPr>
                      <w:rFonts w:ascii="Helvetica" w:eastAsia="Times New Roman" w:hAnsi="Helvetica" w:cs="Helvetica"/>
                      <w:sz w:val="11"/>
                      <w:szCs w:val="11"/>
                      <w:lang w:eastAsia="es-ES"/>
                    </w:rPr>
                  </w:pPr>
                  <w:r w:rsidRPr="00A73518">
                    <w:rPr>
                      <w:rFonts w:ascii="Helvetica" w:eastAsia="Times New Roman" w:hAnsi="Helvetica" w:cs="Helvetica"/>
                      <w:sz w:val="11"/>
                      <w:szCs w:val="11"/>
                      <w:lang w:eastAsia="es-ES"/>
                    </w:rPr>
                    <w:t>De construcción muy robusta, hecho para durar eternamente</w:t>
                  </w:r>
                </w:p>
                <w:p w:rsidR="00A73518" w:rsidRPr="00A73518" w:rsidRDefault="00A73518" w:rsidP="00A73518">
                  <w:pPr>
                    <w:spacing w:after="0" w:line="240" w:lineRule="auto"/>
                    <w:rPr>
                      <w:rFonts w:ascii="Helvetica" w:eastAsia="Times New Roman" w:hAnsi="Helvetica" w:cs="Helvetica"/>
                      <w:sz w:val="11"/>
                      <w:szCs w:val="11"/>
                      <w:lang w:eastAsia="es-ES"/>
                    </w:rPr>
                  </w:pPr>
                  <w:r w:rsidRPr="00A73518">
                    <w:rPr>
                      <w:rFonts w:ascii="Helvetica" w:eastAsia="Times New Roman" w:hAnsi="Helvetica" w:cs="Helvetica"/>
                      <w:b/>
                      <w:bCs/>
                      <w:sz w:val="11"/>
                      <w:szCs w:val="11"/>
                      <w:lang w:eastAsia="es-ES"/>
                    </w:rPr>
                    <w:t>El no va más de los amplificadores lineales de sintonía manual</w:t>
                  </w:r>
                  <w:r w:rsidRPr="00A73518">
                    <w:rPr>
                      <w:rFonts w:ascii="Helvetica" w:eastAsia="Times New Roman" w:hAnsi="Helvetica" w:cs="Helvetica"/>
                      <w:b/>
                      <w:bCs/>
                      <w:sz w:val="11"/>
                      <w:szCs w:val="11"/>
                      <w:lang w:eastAsia="es-ES"/>
                    </w:rPr>
                    <w:br/>
                  </w:r>
                  <w:r w:rsidRPr="00A73518">
                    <w:rPr>
                      <w:rFonts w:ascii="Helvetica" w:eastAsia="Times New Roman" w:hAnsi="Helvetica" w:cs="Helvetica"/>
                      <w:b/>
                      <w:bCs/>
                      <w:sz w:val="11"/>
                      <w:szCs w:val="11"/>
                      <w:lang w:eastAsia="es-ES"/>
                    </w:rPr>
                    <w:br/>
                  </w:r>
                  <w:r w:rsidRPr="00A73518">
                    <w:rPr>
                      <w:rFonts w:ascii="Helvetica" w:eastAsia="Times New Roman" w:hAnsi="Helvetica" w:cs="Helvetica"/>
                      <w:sz w:val="11"/>
                      <w:szCs w:val="11"/>
                      <w:lang w:eastAsia="es-ES"/>
                    </w:rPr>
                    <w:t>Si eres un concursante habitual, probablemente ya tendrás una banda favorita de operación o, si admiras la flexibilidad que proporciona un amplificador lineal sintonizable manualmente, el Alpha 8410 es el amplificador que necesitas.</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Sólido como una roca, empezando por el propio chasis</w:t>
                  </w:r>
                  <w:r w:rsidRPr="00A73518">
                    <w:rPr>
                      <w:rFonts w:ascii="Helvetica" w:eastAsia="Times New Roman" w:hAnsi="Helvetica" w:cs="Helvetica"/>
                      <w:b/>
                      <w:bCs/>
                      <w:sz w:val="11"/>
                      <w:szCs w:val="11"/>
                      <w:lang w:eastAsia="es-ES"/>
                    </w:rPr>
                    <w:br/>
                  </w:r>
                  <w:r w:rsidRPr="00A73518">
                    <w:rPr>
                      <w:rFonts w:ascii="Helvetica" w:eastAsia="Times New Roman" w:hAnsi="Helvetica" w:cs="Helvetica"/>
                      <w:b/>
                      <w:bCs/>
                      <w:sz w:val="11"/>
                      <w:szCs w:val="11"/>
                      <w:lang w:eastAsia="es-ES"/>
                    </w:rPr>
                    <w:br/>
                  </w:r>
                  <w:r w:rsidRPr="00A73518">
                    <w:rPr>
                      <w:rFonts w:ascii="Helvetica" w:eastAsia="Times New Roman" w:hAnsi="Helvetica" w:cs="Helvetica"/>
                      <w:sz w:val="11"/>
                      <w:szCs w:val="11"/>
                      <w:lang w:eastAsia="es-ES"/>
                    </w:rPr>
                    <w:t>Igual que nuestro 9500, está realizado sobre un chasis de aluminio de 2 mm del tipo 5052, cromado en amarillo irisado, que resiste cualquier corrosión y deformación. Para conseguirlo, atornillamos el panel frontal a una partición central, lo que da como resultado una estructura en I que le confiere una gran rigidez.</w:t>
                  </w:r>
                  <w:r w:rsidRPr="00A73518">
                    <w:rPr>
                      <w:rFonts w:ascii="Helvetica" w:eastAsia="Times New Roman" w:hAnsi="Helvetica" w:cs="Helvetica"/>
                      <w:sz w:val="11"/>
                      <w:szCs w:val="11"/>
                      <w:lang w:eastAsia="es-ES"/>
                    </w:rPr>
                    <w:br/>
                    <w:t>Contiene además nuestro superfiable transformador Hypersil, fabricado especialmente para el lineal, que pesa 15 kilos y es capaz de proporcionar 3.500 voltamperios a las placas de las válvulas del Alpha 8410. La tensión de entrada de red puede ser seleccionada entre tensiones de 100, 120, 200, 220 o 240 V de corriente alterna, y el transformador ha sido diseñado para funcionar tanto con la frecuencia de red de 50 Hz como con la de 60 Hz.</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r>
                  <w:r>
                    <w:rPr>
                      <w:rFonts w:ascii="Helvetica" w:eastAsia="Times New Roman" w:hAnsi="Helvetica" w:cs="Helvetica"/>
                      <w:b/>
                      <w:bCs/>
                      <w:noProof/>
                      <w:sz w:val="11"/>
                      <w:szCs w:val="11"/>
                      <w:lang w:eastAsia="es-ES"/>
                    </w:rPr>
                    <w:drawing>
                      <wp:inline distT="0" distB="0" distL="0" distR="0">
                        <wp:extent cx="5711825" cy="2600960"/>
                        <wp:effectExtent l="19050" t="0" r="3175" b="0"/>
                        <wp:docPr id="1" name="Imagen 1" descr="Alpha 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8410"/>
                                <pic:cNvPicPr>
                                  <a:picLocks noChangeAspect="1" noChangeArrowheads="1"/>
                                </pic:cNvPicPr>
                              </pic:nvPicPr>
                              <pic:blipFill>
                                <a:blip r:embed="rId5" cstate="print"/>
                                <a:srcRect/>
                                <a:stretch>
                                  <a:fillRect/>
                                </a:stretch>
                              </pic:blipFill>
                              <pic:spPr bwMode="auto">
                                <a:xfrm>
                                  <a:off x="0" y="0"/>
                                  <a:ext cx="5711825" cy="2600960"/>
                                </a:xfrm>
                                <a:prstGeom prst="rect">
                                  <a:avLst/>
                                </a:prstGeom>
                                <a:noFill/>
                                <a:ln w="9525">
                                  <a:noFill/>
                                  <a:miter lim="800000"/>
                                  <a:headEnd/>
                                  <a:tailEnd/>
                                </a:ln>
                              </pic:spPr>
                            </pic:pic>
                          </a:graphicData>
                        </a:graphic>
                      </wp:inline>
                    </w:drawing>
                  </w:r>
                  <w:r w:rsidRPr="00A73518">
                    <w:rPr>
                      <w:rFonts w:ascii="Helvetica" w:eastAsia="Times New Roman" w:hAnsi="Helvetica" w:cs="Helvetica"/>
                      <w:b/>
                      <w:bCs/>
                      <w:sz w:val="11"/>
                      <w:szCs w:val="11"/>
                      <w:lang w:eastAsia="es-ES"/>
                    </w:rPr>
                    <w:br/>
                  </w:r>
                  <w:r w:rsidRPr="00A73518">
                    <w:rPr>
                      <w:rFonts w:ascii="Helvetica" w:eastAsia="Times New Roman" w:hAnsi="Helvetica" w:cs="Helvetica"/>
                      <w:b/>
                      <w:bCs/>
                      <w:sz w:val="11"/>
                      <w:szCs w:val="11"/>
                      <w:lang w:eastAsia="es-ES"/>
                    </w:rPr>
                    <w:br/>
                    <w:t>Gran robustez del paso final y del circuito de acoplamiento en PI-L</w:t>
                  </w:r>
                  <w:r w:rsidRPr="00A73518">
                    <w:rPr>
                      <w:rFonts w:ascii="Helvetica" w:eastAsia="Times New Roman" w:hAnsi="Helvetica" w:cs="Helvetica"/>
                      <w:b/>
                      <w:bCs/>
                      <w:sz w:val="11"/>
                      <w:szCs w:val="11"/>
                      <w:lang w:eastAsia="es-ES"/>
                    </w:rPr>
                    <w:br/>
                  </w:r>
                  <w:r w:rsidRPr="00A73518">
                    <w:rPr>
                      <w:rFonts w:ascii="Helvetica" w:eastAsia="Times New Roman" w:hAnsi="Helvetica" w:cs="Helvetica"/>
                      <w:b/>
                      <w:bCs/>
                      <w:sz w:val="11"/>
                      <w:szCs w:val="11"/>
                      <w:lang w:eastAsia="es-ES"/>
                    </w:rPr>
                    <w:br/>
                  </w:r>
                  <w:r w:rsidRPr="00A73518">
                    <w:rPr>
                      <w:rFonts w:ascii="Helvetica" w:eastAsia="Times New Roman" w:hAnsi="Helvetica" w:cs="Helvetica"/>
                      <w:sz w:val="11"/>
                      <w:szCs w:val="11"/>
                      <w:lang w:eastAsia="es-ES"/>
                    </w:rPr>
                    <w:t>El Alpha 8410 utiliza una versión mejorada del paso final que utilizamos en el Alpha 99, pero en lugar de las válvulas 2 x 4CX800, que ahora son difíciles de encontrar, nuestros ingenieros han escogido dos válvulas 4CX1000 muy asequibles. Estas válvulas se fabrican en grandes cantidades y han sido escogidas para gran cantidad de aplicaciones en todo el mundo, lo que nos garantiza el suministro de estos tubos durante años a precios razonables.</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t xml:space="preserve">Un gran botón de mando muy manejable acciona un conmutador cerámico de cuatro galletas que garantiza de forma segura y fácil el cambio de bandas. Una de las galletas selecciona el circuito de entrada adecuado, mientras que las otras tres están conectadas al famoso circuito adaptador, fabricado manualmente, Pi-L de Alpha, mediante contactos plateados de larga duración. Si también tienes en cuenta los grandes condensadores de sintonía Tune y Load, sobradamente dimensionados para proporcionar años de funcionamiento sin problemas , descubrirás por qué presumimos de una conmutación y un sintonizado de bandas muy fácil de realizar. </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r>
                  <w:r>
                    <w:rPr>
                      <w:rFonts w:ascii="Helvetica" w:eastAsia="Times New Roman" w:hAnsi="Helvetica" w:cs="Helvetica"/>
                      <w:noProof/>
                      <w:sz w:val="11"/>
                      <w:szCs w:val="11"/>
                      <w:lang w:eastAsia="es-ES"/>
                    </w:rPr>
                    <w:lastRenderedPageBreak/>
                    <w:drawing>
                      <wp:inline distT="0" distB="0" distL="0" distR="0">
                        <wp:extent cx="5711825" cy="3277870"/>
                        <wp:effectExtent l="19050" t="0" r="3175" b="0"/>
                        <wp:docPr id="2" name="Imagen 2" descr="Alpha 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8410"/>
                                <pic:cNvPicPr>
                                  <a:picLocks noChangeAspect="1" noChangeArrowheads="1"/>
                                </pic:cNvPicPr>
                              </pic:nvPicPr>
                              <pic:blipFill>
                                <a:blip r:embed="rId6" cstate="print"/>
                                <a:srcRect/>
                                <a:stretch>
                                  <a:fillRect/>
                                </a:stretch>
                              </pic:blipFill>
                              <pic:spPr bwMode="auto">
                                <a:xfrm>
                                  <a:off x="0" y="0"/>
                                  <a:ext cx="5711825" cy="3277870"/>
                                </a:xfrm>
                                <a:prstGeom prst="rect">
                                  <a:avLst/>
                                </a:prstGeom>
                                <a:noFill/>
                                <a:ln w="9525">
                                  <a:noFill/>
                                  <a:miter lim="800000"/>
                                  <a:headEnd/>
                                  <a:tailEnd/>
                                </a:ln>
                              </pic:spPr>
                            </pic:pic>
                          </a:graphicData>
                        </a:graphic>
                      </wp:inline>
                    </w:drawing>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t>En el circuito de control del 8410, descubrirás un microprocesador que nos permite normalizar las prestaciones de amplificación, calibrar las medidas de potencia y ganancia en cada banda para incrementar su fiabilidad y duración. Todas estas funciones confluyen en un mayor beneficio para el usuario: la facilidad de sintonía. El 8410 viene equipado con una conexión estándar USB y puertos serie para monitorizar las prestaciones y registrarlas a largo plazo.</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Instalación muy simple</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t>Además de la conexión a la red, solo se necesitan dos conexiones más en el Alpha 8410: el cable del PTT (Push to Talk o puesta en transmisión) y la entrada de RF. Todos los conectores del Alpha 8410 son estándar SO-239.</w:t>
                  </w:r>
                  <w:r w:rsidRPr="00A73518">
                    <w:rPr>
                      <w:rFonts w:ascii="Helvetica" w:eastAsia="Times New Roman" w:hAnsi="Helvetica" w:cs="Helvetica"/>
                      <w:sz w:val="11"/>
                      <w:szCs w:val="11"/>
                      <w:lang w:eastAsia="es-ES"/>
                    </w:rPr>
                    <w:br/>
                    <w:t>No se necesita ningún cable de ALC (Authomatic Level Control) como en otros amplificadores. La placa con microprocesador garantiza que no puedas dañar las válvulas por sobrecarga.  Los circuitos de entrada independientes para cada banda de radioaficionados garantizan una adaptación correcta a los 50 ohmios requeridos por tu transceptor.</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Fabricado en EEUU</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t>Este amplificador es más robusto y fiable que cualquier otro que hayamos fabricado nunca. Compramos los mejores componentes disponibles en el mercado para el Alpha 8410. Nuestra cuidadosa selección de hasta el más sencillo de los componentes demuestra nuestro empeño en proporcionar el amplificador más fiable del mundo.</w:t>
                  </w:r>
                  <w:r w:rsidRPr="00A73518">
                    <w:rPr>
                      <w:rFonts w:ascii="Helvetica" w:eastAsia="Times New Roman" w:hAnsi="Helvetica" w:cs="Helvetica"/>
                      <w:sz w:val="11"/>
                      <w:szCs w:val="11"/>
                      <w:lang w:eastAsia="es-ES"/>
                    </w:rPr>
                    <w:br/>
                    <w:t>El Alpha 8410 ha sido diseñado y fabricado a mano en Colorado, EEUU, y proporcionamos una garantía de 4 años para el amplificador y de 1 año para las válvulas, y nuestro personal realiza todo el servicio técnico necesario. Los montamos a mano, los sintonizamos a mano y los dejamos funcionando toda una noche a plena potencia, de forma que sabemos que, cuando compras un Alpha 8410, obtienes un amplificador que es el más robusto y mejor fabricado del mundo.</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ESPECIFICACIONES:</w:t>
                  </w:r>
                  <w:r w:rsidRPr="00A73518">
                    <w:rPr>
                      <w:rFonts w:ascii="Helvetica" w:eastAsia="Times New Roman" w:hAnsi="Helvetica" w:cs="Helvetica"/>
                      <w:b/>
                      <w:bCs/>
                      <w:sz w:val="11"/>
                      <w:szCs w:val="11"/>
                      <w:lang w:eastAsia="es-ES"/>
                    </w:rPr>
                    <w:br/>
                  </w:r>
                  <w:r w:rsidRPr="00A73518">
                    <w:rPr>
                      <w:rFonts w:ascii="Helvetica" w:eastAsia="Times New Roman" w:hAnsi="Helvetica" w:cs="Helvetica"/>
                      <w:b/>
                      <w:bCs/>
                      <w:sz w:val="11"/>
                      <w:szCs w:val="11"/>
                      <w:lang w:eastAsia="es-ES"/>
                    </w:rPr>
                    <w:br/>
                    <w:t xml:space="preserve">Frecuencias cubiertas: </w:t>
                  </w:r>
                  <w:r w:rsidRPr="00A73518">
                    <w:rPr>
                      <w:rFonts w:ascii="Helvetica" w:eastAsia="Times New Roman" w:hAnsi="Helvetica" w:cs="Helvetica"/>
                      <w:sz w:val="11"/>
                      <w:szCs w:val="11"/>
                      <w:lang w:eastAsia="es-ES"/>
                    </w:rPr>
                    <w:t>Todas las frecuencias de radioaficionado de 1,8 a 29,7 MHz.</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Potencia de salida: +</w:t>
                  </w:r>
                  <w:r w:rsidRPr="00A73518">
                    <w:rPr>
                      <w:rFonts w:ascii="Helvetica" w:eastAsia="Times New Roman" w:hAnsi="Helvetica" w:cs="Helvetica"/>
                      <w:sz w:val="11"/>
                      <w:szCs w:val="11"/>
                      <w:lang w:eastAsia="es-ES"/>
                    </w:rPr>
                    <w:t>1500 W como mínimo en todas las bandas</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 xml:space="preserve">IMD de 3er orden: </w:t>
                  </w:r>
                  <w:r w:rsidRPr="00A73518">
                    <w:rPr>
                      <w:rFonts w:ascii="Helvetica" w:eastAsia="Times New Roman" w:hAnsi="Helvetica" w:cs="Helvetica"/>
                      <w:sz w:val="11"/>
                      <w:szCs w:val="11"/>
                      <w:lang w:eastAsia="es-ES"/>
                    </w:rPr>
                    <w:t>&lt; -30 dBc</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ROE tolerada:</w:t>
                  </w:r>
                  <w:r w:rsidRPr="00A73518">
                    <w:rPr>
                      <w:rFonts w:ascii="Helvetica" w:eastAsia="Times New Roman" w:hAnsi="Helvetica" w:cs="Helvetica"/>
                      <w:sz w:val="11"/>
                      <w:szCs w:val="11"/>
                      <w:lang w:eastAsia="es-ES"/>
                    </w:rPr>
                    <w:t xml:space="preserve"> 3:1 </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Potencia de excitación: </w:t>
                  </w:r>
                  <w:r w:rsidRPr="00A73518">
                    <w:rPr>
                      <w:rFonts w:ascii="Helvetica" w:eastAsia="Times New Roman" w:hAnsi="Helvetica" w:cs="Helvetica"/>
                      <w:sz w:val="11"/>
                      <w:szCs w:val="11"/>
                      <w:lang w:eastAsia="es-ES"/>
                    </w:rPr>
                    <w:t>  50-55 W nominales para plena potencia de salida</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 xml:space="preserve">Válvulas: </w:t>
                  </w:r>
                  <w:r w:rsidRPr="00A73518">
                    <w:rPr>
                      <w:rFonts w:ascii="Helvetica" w:eastAsia="Times New Roman" w:hAnsi="Helvetica" w:cs="Helvetica"/>
                      <w:sz w:val="11"/>
                      <w:szCs w:val="11"/>
                      <w:lang w:eastAsia="es-ES"/>
                    </w:rPr>
                    <w:t xml:space="preserve">Dos tetrodos  4CX1000 de altas prestaciones en paralelo con una potencia de disipación en placas combinada de 2000 vatios en CW en todas las bandas, en todas las modalidades y en todos los usos posibles. </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 xml:space="preserve">Refrigeración: </w:t>
                  </w:r>
                  <w:r w:rsidRPr="00A73518">
                    <w:rPr>
                      <w:rFonts w:ascii="Helvetica" w:eastAsia="Times New Roman" w:hAnsi="Helvetica" w:cs="Helvetica"/>
                      <w:sz w:val="11"/>
                      <w:szCs w:val="11"/>
                      <w:lang w:eastAsia="es-ES"/>
                    </w:rPr>
                    <w:t>Aire forzado</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 xml:space="preserve">Conector de entrada de RF: </w:t>
                  </w:r>
                  <w:r w:rsidRPr="00A73518">
                    <w:rPr>
                      <w:rFonts w:ascii="Helvetica" w:eastAsia="Times New Roman" w:hAnsi="Helvetica" w:cs="Helvetica"/>
                      <w:sz w:val="11"/>
                      <w:szCs w:val="11"/>
                      <w:lang w:eastAsia="es-ES"/>
                    </w:rPr>
                    <w:t>Conector estándar SO-239, pero podemos instalar un conector “N” si se solicita al formular el pedido.</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Conector de salida de RF/Antena:</w:t>
                  </w:r>
                  <w:r w:rsidRPr="00A73518">
                    <w:rPr>
                      <w:rFonts w:ascii="Helvetica" w:eastAsia="Times New Roman" w:hAnsi="Helvetica" w:cs="Helvetica"/>
                      <w:sz w:val="11"/>
                      <w:szCs w:val="11"/>
                      <w:lang w:eastAsia="es-ES"/>
                    </w:rPr>
                    <w:t xml:space="preserve"> Conector estándar SO-239, pero podemos instalar un conector “N” si se solicitan al formular el pedido.</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 xml:space="preserve">Vatímetro calibrado: </w:t>
                  </w:r>
                  <w:r w:rsidRPr="00A73518">
                    <w:rPr>
                      <w:rFonts w:ascii="Helvetica" w:eastAsia="Times New Roman" w:hAnsi="Helvetica" w:cs="Helvetica"/>
                      <w:sz w:val="11"/>
                      <w:szCs w:val="11"/>
                      <w:lang w:eastAsia="es-ES"/>
                    </w:rPr>
                    <w:t>El vatímetro tipo Bruene mide con precisión y simultáneamente tanto la potencia directa como la reflejada, y muestra esta información en dos medidores de barras deslizantes en el panel frontal. También utiliza la información para monitorizar la ganancia del amplificador simultáneamente.</w:t>
                  </w:r>
                  <w:r w:rsidRPr="00A73518">
                    <w:rPr>
                      <w:rFonts w:ascii="Helvetica" w:eastAsia="Times New Roman" w:hAnsi="Helvetica" w:cs="Helvetica"/>
                      <w:sz w:val="11"/>
                      <w:szCs w:val="11"/>
                      <w:lang w:eastAsia="es-ES"/>
                    </w:rPr>
                    <w:br/>
                    <w:t>Sistemas de protección: Interruptores interiores de alta tensión y de alimentación.</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Sintonía/Conmutador de bandas:</w:t>
                  </w:r>
                  <w:r w:rsidRPr="00A73518">
                    <w:rPr>
                      <w:rFonts w:ascii="Helvetica" w:eastAsia="Times New Roman" w:hAnsi="Helvetica" w:cs="Helvetica"/>
                      <w:sz w:val="11"/>
                      <w:szCs w:val="11"/>
                      <w:lang w:eastAsia="es-ES"/>
                    </w:rPr>
                    <w:t xml:space="preserve"> Manual</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Alimentación:</w:t>
                  </w:r>
                  <w:r w:rsidRPr="00A73518">
                    <w:rPr>
                      <w:rFonts w:ascii="Helvetica" w:eastAsia="Times New Roman" w:hAnsi="Helvetica" w:cs="Helvetica"/>
                      <w:sz w:val="11"/>
                      <w:szCs w:val="11"/>
                      <w:lang w:eastAsia="es-ES"/>
                    </w:rPr>
                    <w:t xml:space="preserve"> 100, 120, 200, 220 o 240 VAC de 50/60Hz, con selección manual. A 240 V necesita 10 A por rama, con un total de 20 Amperios. Nota: Si el amplificador se conecta a 100 V, la instalación debe poder suministrar hasta 35 Amperios. </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 xml:space="preserve">Interface: </w:t>
                  </w:r>
                  <w:r w:rsidRPr="00A73518">
                    <w:rPr>
                      <w:rFonts w:ascii="Helvetica" w:eastAsia="Times New Roman" w:hAnsi="Helvetica" w:cs="Helvetica"/>
                      <w:sz w:val="11"/>
                      <w:szCs w:val="11"/>
                      <w:lang w:eastAsia="es-ES"/>
                    </w:rPr>
                    <w:t>USB, con un completo monitorizado y diagnóstico remoto.</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Protección:</w:t>
                  </w:r>
                  <w:r w:rsidRPr="00A73518">
                    <w:rPr>
                      <w:rFonts w:ascii="Helvetica" w:eastAsia="Times New Roman" w:hAnsi="Helvetica" w:cs="Helvetica"/>
                      <w:sz w:val="11"/>
                      <w:szCs w:val="11"/>
                      <w:lang w:eastAsia="es-ES"/>
                    </w:rPr>
                    <w:t xml:space="preserve"> Protegido contra todos los fallos más comunes.</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Display:</w:t>
                  </w:r>
                  <w:r w:rsidRPr="00A73518">
                    <w:rPr>
                      <w:rFonts w:ascii="Helvetica" w:eastAsia="Times New Roman" w:hAnsi="Helvetica" w:cs="Helvetica"/>
                      <w:sz w:val="11"/>
                      <w:szCs w:val="11"/>
                      <w:lang w:eastAsia="es-ES"/>
                    </w:rPr>
                    <w:t xml:space="preserve"> Gráficos de barras que muestran la Potencia, la ROE, la corriente de rejilla, la corriente de placa, la tensión de placa y la ganancia.</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Conmutación TX/RX:</w:t>
                  </w:r>
                  <w:r w:rsidRPr="00A73518">
                    <w:rPr>
                      <w:rFonts w:ascii="Helvetica" w:eastAsia="Times New Roman" w:hAnsi="Helvetica" w:cs="Helvetica"/>
                      <w:sz w:val="11"/>
                      <w:szCs w:val="11"/>
                      <w:lang w:eastAsia="es-ES"/>
                    </w:rPr>
                    <w:t>  Dos relés al vacío permiten QSK (full breaking) a pleno QRO (plena potencia).</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Capacidad de bypass: </w:t>
                  </w:r>
                  <w:r w:rsidRPr="00A73518">
                    <w:rPr>
                      <w:rFonts w:ascii="Helvetica" w:eastAsia="Times New Roman" w:hAnsi="Helvetica" w:cs="Helvetica"/>
                      <w:sz w:val="11"/>
                      <w:szCs w:val="11"/>
                      <w:lang w:eastAsia="es-ES"/>
                    </w:rPr>
                    <w:t xml:space="preserve"> 500 W</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Peso del envío: </w:t>
                  </w:r>
                  <w:r w:rsidRPr="00A73518">
                    <w:rPr>
                      <w:rFonts w:ascii="Helvetica" w:eastAsia="Times New Roman" w:hAnsi="Helvetica" w:cs="Helvetica"/>
                      <w:sz w:val="11"/>
                      <w:szCs w:val="11"/>
                      <w:lang w:eastAsia="es-ES"/>
                    </w:rPr>
                    <w:t xml:space="preserve"> 40 Kgs. Montado pesa 33,5 kilos</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Medidas:</w:t>
                  </w:r>
                  <w:r w:rsidRPr="00A73518">
                    <w:rPr>
                      <w:rFonts w:ascii="Helvetica" w:eastAsia="Times New Roman" w:hAnsi="Helvetica" w:cs="Helvetica"/>
                      <w:sz w:val="11"/>
                      <w:szCs w:val="11"/>
                      <w:lang w:eastAsia="es-ES"/>
                    </w:rPr>
                    <w:t xml:space="preserve"> 44,5 cm de ancho x 19 cm de alto x 50 cm de fondo (17,5” x 7,5” x 19,75”) </w:t>
                  </w:r>
                  <w:r w:rsidRPr="00A73518">
                    <w:rPr>
                      <w:rFonts w:ascii="Helvetica" w:eastAsia="Times New Roman" w:hAnsi="Helvetica" w:cs="Helvetica"/>
                      <w:sz w:val="11"/>
                      <w:szCs w:val="11"/>
                      <w:lang w:eastAsia="es-ES"/>
                    </w:rPr>
                    <w:br/>
                  </w:r>
                  <w:r w:rsidRPr="00A73518">
                    <w:rPr>
                      <w:rFonts w:ascii="Helvetica" w:eastAsia="Times New Roman" w:hAnsi="Helvetica" w:cs="Helvetica"/>
                      <w:b/>
                      <w:bCs/>
                      <w:sz w:val="11"/>
                      <w:szCs w:val="11"/>
                      <w:lang w:eastAsia="es-ES"/>
                    </w:rPr>
                    <w:t xml:space="preserve">Embalaje estándar: </w:t>
                  </w:r>
                  <w:r w:rsidRPr="00A73518">
                    <w:rPr>
                      <w:rFonts w:ascii="Helvetica" w:eastAsia="Times New Roman" w:hAnsi="Helvetica" w:cs="Helvetica"/>
                      <w:sz w:val="11"/>
                      <w:szCs w:val="11"/>
                      <w:lang w:eastAsia="es-ES"/>
                    </w:rPr>
                    <w:t>Enviamos el amplificador en una caja doble y el transformador en una caja separada.</w:t>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r>
                  <w:r>
                    <w:rPr>
                      <w:rFonts w:ascii="Helvetica" w:eastAsia="Times New Roman" w:hAnsi="Helvetica" w:cs="Helvetica"/>
                      <w:noProof/>
                      <w:sz w:val="11"/>
                      <w:szCs w:val="11"/>
                      <w:lang w:eastAsia="es-ES"/>
                    </w:rPr>
                    <w:lastRenderedPageBreak/>
                    <w:drawing>
                      <wp:inline distT="0" distB="0" distL="0" distR="0">
                        <wp:extent cx="2571115" cy="1715770"/>
                        <wp:effectExtent l="19050" t="0" r="635" b="0"/>
                        <wp:docPr id="3" name="Imagen 3" descr="alpha 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ha 8410"/>
                                <pic:cNvPicPr>
                                  <a:picLocks noChangeAspect="1" noChangeArrowheads="1"/>
                                </pic:cNvPicPr>
                              </pic:nvPicPr>
                              <pic:blipFill>
                                <a:blip r:embed="rId7" cstate="print"/>
                                <a:srcRect/>
                                <a:stretch>
                                  <a:fillRect/>
                                </a:stretch>
                              </pic:blipFill>
                              <pic:spPr bwMode="auto">
                                <a:xfrm>
                                  <a:off x="0" y="0"/>
                                  <a:ext cx="2571115" cy="1715770"/>
                                </a:xfrm>
                                <a:prstGeom prst="rect">
                                  <a:avLst/>
                                </a:prstGeom>
                                <a:noFill/>
                                <a:ln w="9525">
                                  <a:noFill/>
                                  <a:miter lim="800000"/>
                                  <a:headEnd/>
                                  <a:tailEnd/>
                                </a:ln>
                              </pic:spPr>
                            </pic:pic>
                          </a:graphicData>
                        </a:graphic>
                      </wp:inline>
                    </w:drawing>
                  </w:r>
                  <w:r w:rsidRPr="00A73518">
                    <w:rPr>
                      <w:rFonts w:ascii="Helvetica" w:eastAsia="Times New Roman" w:hAnsi="Helvetica" w:cs="Helvetica"/>
                      <w:sz w:val="11"/>
                      <w:szCs w:val="11"/>
                      <w:lang w:eastAsia="es-ES"/>
                    </w:rPr>
                    <w:t> </w:t>
                  </w:r>
                  <w:r>
                    <w:rPr>
                      <w:rFonts w:ascii="Helvetica" w:eastAsia="Times New Roman" w:hAnsi="Helvetica" w:cs="Helvetica"/>
                      <w:noProof/>
                      <w:sz w:val="11"/>
                      <w:szCs w:val="11"/>
                      <w:lang w:eastAsia="es-ES"/>
                    </w:rPr>
                    <w:drawing>
                      <wp:inline distT="0" distB="0" distL="0" distR="0">
                        <wp:extent cx="2571115" cy="1715770"/>
                        <wp:effectExtent l="19050" t="0" r="635" b="0"/>
                        <wp:docPr id="4" name="Imagen 4" descr="alpha 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 8410"/>
                                <pic:cNvPicPr>
                                  <a:picLocks noChangeAspect="1" noChangeArrowheads="1"/>
                                </pic:cNvPicPr>
                              </pic:nvPicPr>
                              <pic:blipFill>
                                <a:blip r:embed="rId8" cstate="print"/>
                                <a:srcRect/>
                                <a:stretch>
                                  <a:fillRect/>
                                </a:stretch>
                              </pic:blipFill>
                              <pic:spPr bwMode="auto">
                                <a:xfrm>
                                  <a:off x="0" y="0"/>
                                  <a:ext cx="2571115" cy="1715770"/>
                                </a:xfrm>
                                <a:prstGeom prst="rect">
                                  <a:avLst/>
                                </a:prstGeom>
                                <a:noFill/>
                                <a:ln w="9525">
                                  <a:noFill/>
                                  <a:miter lim="800000"/>
                                  <a:headEnd/>
                                  <a:tailEnd/>
                                </a:ln>
                              </pic:spPr>
                            </pic:pic>
                          </a:graphicData>
                        </a:graphic>
                      </wp:inline>
                    </w:drawing>
                  </w:r>
                  <w:r w:rsidRPr="00A73518">
                    <w:rPr>
                      <w:rFonts w:ascii="Helvetica" w:eastAsia="Times New Roman" w:hAnsi="Helvetica" w:cs="Helvetica"/>
                      <w:sz w:val="11"/>
                      <w:szCs w:val="11"/>
                      <w:lang w:eastAsia="es-ES"/>
                    </w:rPr>
                    <w:br/>
                  </w:r>
                  <w:r w:rsidRPr="00A73518">
                    <w:rPr>
                      <w:rFonts w:ascii="Helvetica" w:eastAsia="Times New Roman" w:hAnsi="Helvetica" w:cs="Helvetica"/>
                      <w:sz w:val="11"/>
                      <w:szCs w:val="11"/>
                      <w:lang w:eastAsia="es-ES"/>
                    </w:rPr>
                    <w:br/>
                  </w:r>
                  <w:r>
                    <w:rPr>
                      <w:rFonts w:ascii="Helvetica" w:eastAsia="Times New Roman" w:hAnsi="Helvetica" w:cs="Helvetica"/>
                      <w:noProof/>
                      <w:sz w:val="11"/>
                      <w:szCs w:val="11"/>
                      <w:lang w:eastAsia="es-ES"/>
                    </w:rPr>
                    <w:drawing>
                      <wp:inline distT="0" distB="0" distL="0" distR="0">
                        <wp:extent cx="2571115" cy="1715770"/>
                        <wp:effectExtent l="19050" t="0" r="635" b="0"/>
                        <wp:docPr id="5" name="Imagen 5" descr="alpha 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pha 8410"/>
                                <pic:cNvPicPr>
                                  <a:picLocks noChangeAspect="1" noChangeArrowheads="1"/>
                                </pic:cNvPicPr>
                              </pic:nvPicPr>
                              <pic:blipFill>
                                <a:blip r:embed="rId9" cstate="print"/>
                                <a:srcRect/>
                                <a:stretch>
                                  <a:fillRect/>
                                </a:stretch>
                              </pic:blipFill>
                              <pic:spPr bwMode="auto">
                                <a:xfrm>
                                  <a:off x="0" y="0"/>
                                  <a:ext cx="2571115" cy="1715770"/>
                                </a:xfrm>
                                <a:prstGeom prst="rect">
                                  <a:avLst/>
                                </a:prstGeom>
                                <a:noFill/>
                                <a:ln w="9525">
                                  <a:noFill/>
                                  <a:miter lim="800000"/>
                                  <a:headEnd/>
                                  <a:tailEnd/>
                                </a:ln>
                              </pic:spPr>
                            </pic:pic>
                          </a:graphicData>
                        </a:graphic>
                      </wp:inline>
                    </w:drawing>
                  </w:r>
                  <w:r w:rsidRPr="00A73518">
                    <w:rPr>
                      <w:rFonts w:ascii="Helvetica" w:eastAsia="Times New Roman" w:hAnsi="Helvetica" w:cs="Helvetica"/>
                      <w:sz w:val="11"/>
                      <w:szCs w:val="11"/>
                      <w:lang w:eastAsia="es-ES"/>
                    </w:rPr>
                    <w:t> </w:t>
                  </w:r>
                  <w:r>
                    <w:rPr>
                      <w:rFonts w:ascii="Helvetica" w:eastAsia="Times New Roman" w:hAnsi="Helvetica" w:cs="Helvetica"/>
                      <w:noProof/>
                      <w:sz w:val="11"/>
                      <w:szCs w:val="11"/>
                      <w:lang w:eastAsia="es-ES"/>
                    </w:rPr>
                    <w:drawing>
                      <wp:inline distT="0" distB="0" distL="0" distR="0">
                        <wp:extent cx="2571115" cy="1715770"/>
                        <wp:effectExtent l="19050" t="0" r="635" b="0"/>
                        <wp:docPr id="6" name="Imagen 6" descr="alpha 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pha 8410"/>
                                <pic:cNvPicPr>
                                  <a:picLocks noChangeAspect="1" noChangeArrowheads="1"/>
                                </pic:cNvPicPr>
                              </pic:nvPicPr>
                              <pic:blipFill>
                                <a:blip r:embed="rId10" cstate="print"/>
                                <a:srcRect/>
                                <a:stretch>
                                  <a:fillRect/>
                                </a:stretch>
                              </pic:blipFill>
                              <pic:spPr bwMode="auto">
                                <a:xfrm>
                                  <a:off x="0" y="0"/>
                                  <a:ext cx="2571115" cy="1715770"/>
                                </a:xfrm>
                                <a:prstGeom prst="rect">
                                  <a:avLst/>
                                </a:prstGeom>
                                <a:noFill/>
                                <a:ln w="9525">
                                  <a:noFill/>
                                  <a:miter lim="800000"/>
                                  <a:headEnd/>
                                  <a:tailEnd/>
                                </a:ln>
                              </pic:spPr>
                            </pic:pic>
                          </a:graphicData>
                        </a:graphic>
                      </wp:inline>
                    </w:drawing>
                  </w:r>
                  <w:r w:rsidRPr="00A73518">
                    <w:rPr>
                      <w:rFonts w:ascii="Helvetica" w:eastAsia="Times New Roman" w:hAnsi="Helvetica" w:cs="Helvetica"/>
                      <w:sz w:val="11"/>
                      <w:szCs w:val="11"/>
                      <w:lang w:eastAsia="es-ES"/>
                    </w:rPr>
                    <w:t xml:space="preserve"> </w:t>
                  </w:r>
                  <w:r w:rsidRPr="00A73518">
                    <w:rPr>
                      <w:rFonts w:ascii="Helvetica" w:eastAsia="Times New Roman" w:hAnsi="Helvetica" w:cs="Helvetica"/>
                      <w:sz w:val="11"/>
                      <w:szCs w:val="11"/>
                      <w:lang w:eastAsia="es-ES"/>
                    </w:rPr>
                    <w:br/>
                    <w:t xml:space="preserve">&amp;amp;amp;lt;/body&amp;amp;amp;gt;&amp; amp;amp;lt;/html&amp;amp;amp;gt; </w:t>
                  </w:r>
                </w:p>
              </w:tc>
            </w:tr>
          </w:tbl>
          <w:p w:rsidR="00A73518" w:rsidRPr="00A73518" w:rsidRDefault="00A73518" w:rsidP="00A73518">
            <w:pPr>
              <w:spacing w:after="0" w:line="240" w:lineRule="auto"/>
              <w:jc w:val="center"/>
              <w:rPr>
                <w:rFonts w:ascii="Helvetica" w:eastAsia="Times New Roman" w:hAnsi="Helvetica" w:cs="Helvetica"/>
                <w:sz w:val="11"/>
                <w:szCs w:val="11"/>
                <w:lang w:eastAsia="es-ES"/>
              </w:rPr>
            </w:pPr>
          </w:p>
        </w:tc>
      </w:tr>
    </w:tbl>
    <w:p w:rsidR="0006235D" w:rsidRDefault="0006235D"/>
    <w:sectPr w:rsidR="0006235D" w:rsidSect="000623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1632E"/>
    <w:multiLevelType w:val="multilevel"/>
    <w:tmpl w:val="CB3A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A73518"/>
    <w:rsid w:val="0006235D"/>
    <w:rsid w:val="00A735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35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73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5839</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2013-11-18T06:52:00Z</dcterms:created>
  <dcterms:modified xsi:type="dcterms:W3CDTF">2013-11-18T06:52:00Z</dcterms:modified>
</cp:coreProperties>
</file>